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kalabio_8k.htm"/>
      <w:bookmarkStart w:id="1" w:name="kskalabio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3_edei--DocumentType_c20260722__20"/>
      <w:bookmarkEnd w:id="2"/>
      <w:r>
        <w:rPr>
          <w:rFonts w:ascii="Times New Roman;Times;Serif" w:hAnsi="Times New Roman;Times;Serif"/>
          <w:b/>
          <w:i w:val="false"/>
          <w:caps w:val="false"/>
          <w:smallCaps w:val="false"/>
          <w:sz w:val="28"/>
        </w:rPr>
        <w:t>8-K</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b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i w:val="false"/>
          <w:caps w:val="false"/>
          <w:smallCaps w:val="false"/>
          <w:sz w:val="20"/>
        </w:rPr>
        <w:t>July 22, 2026</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7_edei--EntityRegistrantName_c2026"/>
      <w:bookmarkEnd w:id="4"/>
      <w:r>
        <w:rPr>
          <w:rFonts w:ascii="Times New Roman;Times;Serif" w:hAnsi="Times New Roman;Times;Serif"/>
          <w:b/>
          <w:i w:val="false"/>
          <w:caps w:val="false"/>
          <w:smallCaps w:val="false"/>
          <w:sz w:val="28"/>
        </w:rPr>
        <w:t>KALA BIO,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4965" w:type="dxa"/>
        <w:jc w:val="left"/>
        <w:tblInd w:w="0" w:type="dxa"/>
        <w:tblLayout w:type="fixed"/>
        <w:tblCellMar>
          <w:top w:w="0" w:type="dxa"/>
          <w:left w:w="0" w:type="dxa"/>
          <w:bottom w:w="28" w:type="dxa"/>
          <w:right w:w="0" w:type="dxa"/>
        </w:tblCellMar>
      </w:tblPr>
      <w:tblGrid>
        <w:gridCol w:w="2210"/>
        <w:gridCol w:w="60"/>
        <w:gridCol w:w="1100"/>
        <w:gridCol w:w="60"/>
        <w:gridCol w:w="1535"/>
      </w:tblGrid>
      <w:tr>
        <w:trPr/>
        <w:tc>
          <w:tcPr>
            <w:tcW w:w="2210" w:type="dxa"/>
            <w:tcBorders>
              <w:bottom w:val="single" w:sz="8" w:space="0" w:color="000000"/>
            </w:tcBorders>
            <w:vAlign w:val="center"/>
          </w:tcPr>
          <w:p>
            <w:pPr>
              <w:pStyle w:val="TableContents"/>
              <w:bidi w:val="0"/>
              <w:spacing w:before="0" w:after="283"/>
              <w:ind w:left="0" w:right="0" w:hanging="0"/>
              <w:jc w:val="center"/>
              <w:rPr>
                <w:rFonts w:ascii="Times New Roman;Times;Serif" w:hAnsi="Times New Roman;Times;Serif"/>
                <w:b/>
                <w:i w:val="false"/>
                <w:caps w:val="false"/>
                <w:smallCaps w:val="false"/>
                <w:sz w:val="20"/>
              </w:rPr>
            </w:pPr>
            <w:bookmarkStart w:id="5" w:name="xdx_90E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7_edei--EntityFileNumber_c20260722"/>
            <w:bookmarkEnd w:id="6"/>
            <w:r>
              <w:rPr>
                <w:rFonts w:ascii="Times New Roman;Times;Serif" w:hAnsi="Times New Roman;Times;Serif"/>
                <w:b/>
                <w:i w:val="false"/>
                <w:caps w:val="false"/>
                <w:smallCaps w:val="false"/>
                <w:sz w:val="20"/>
              </w:rPr>
              <w:t>001-38150</w:t>
            </w:r>
          </w:p>
        </w:tc>
        <w:tc>
          <w:tcPr>
            <w:tcW w:w="60" w:type="dxa"/>
            <w:tcBorders/>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ind w:left="0" w:right="0" w:hanging="0"/>
              <w:jc w:val="center"/>
              <w:rPr>
                <w:rFonts w:ascii="Times New Roman;Times;Serif" w:hAnsi="Times New Roman;Times;Serif"/>
                <w:b/>
                <w:i w:val="false"/>
                <w:caps w:val="false"/>
                <w:smallCaps w:val="false"/>
                <w:sz w:val="20"/>
              </w:rPr>
            </w:pPr>
            <w:bookmarkStart w:id="7" w:name="xdx_908_edei--EntityTaxIdentificationNum"/>
            <w:bookmarkEnd w:id="7"/>
            <w:r>
              <w:rPr>
                <w:rFonts w:ascii="Times New Roman;Times;Serif" w:hAnsi="Times New Roman;Times;Serif"/>
                <w:b/>
                <w:i w:val="false"/>
                <w:caps w:val="false"/>
                <w:smallCaps w:val="false"/>
                <w:sz w:val="20"/>
              </w:rPr>
              <w:t>27-0604595</w:t>
            </w:r>
          </w:p>
        </w:tc>
      </w:tr>
      <w:tr>
        <w:trPr/>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br/>
              <w:t>of Incorporation)</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1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br/>
              <w:t>File Number)</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5020" w:type="dxa"/>
        <w:jc w:val="left"/>
        <w:tblInd w:w="0" w:type="dxa"/>
        <w:tblLayout w:type="fixed"/>
        <w:tblCellMar>
          <w:top w:w="0" w:type="dxa"/>
          <w:left w:w="0" w:type="dxa"/>
          <w:bottom w:w="28" w:type="dxa"/>
          <w:right w:w="0" w:type="dxa"/>
        </w:tblCellMar>
      </w:tblPr>
      <w:tblGrid>
        <w:gridCol w:w="3875"/>
        <w:gridCol w:w="60"/>
        <w:gridCol w:w="1085"/>
      </w:tblGrid>
      <w:tr>
        <w:trPr/>
        <w:tc>
          <w:tcPr>
            <w:tcW w:w="3875" w:type="dxa"/>
            <w:tcBorders>
              <w:bottom w:val="single" w:sz="8" w:space="0" w:color="000000"/>
            </w:tcBorders>
            <w:vAlign w:val="center"/>
          </w:tcPr>
          <w:p>
            <w:pPr>
              <w:pStyle w:val="TableContents"/>
              <w:bidi w:val="0"/>
              <w:jc w:val="center"/>
              <w:rPr>
                <w:b/>
              </w:rPr>
            </w:pPr>
            <w:bookmarkStart w:id="8" w:name="xdx_906_edei--EntityAddressAddressLine1_"/>
            <w:bookmarkEnd w:id="8"/>
            <w:r>
              <w:rPr>
                <w:b/>
              </w:rPr>
              <w:t>1167 Massachusetts Avenue</w:t>
            </w:r>
          </w:p>
          <w:p>
            <w:pPr>
              <w:pStyle w:val="TableContents"/>
              <w:bidi w:val="0"/>
              <w:spacing w:before="0" w:after="283"/>
              <w:jc w:val="center"/>
              <w:rPr/>
            </w:pPr>
            <w:bookmarkStart w:id="9" w:name="xdx_909_edei--EntityAddressCityOrTown_c2"/>
            <w:bookmarkEnd w:id="9"/>
            <w:r>
              <w:rPr>
                <w:b/>
              </w:rPr>
              <w:t xml:space="preserve">Arlington, </w:t>
            </w:r>
            <w:bookmarkStart w:id="10" w:name="xdx_90D_edei--EntityAddressStateOrProvin"/>
            <w:bookmarkEnd w:id="10"/>
            <w:r>
              <w:rPr>
                <w:b/>
              </w:rPr>
              <w:t>MA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85" w:type="dxa"/>
            <w:tcBorders>
              <w:bottom w:val="single" w:sz="8" w:space="0" w:color="000000"/>
            </w:tcBorders>
            <w:vAlign w:val="center"/>
          </w:tcPr>
          <w:p>
            <w:pPr>
              <w:pStyle w:val="TableContents"/>
              <w:bidi w:val="0"/>
              <w:spacing w:before="0" w:after="283"/>
              <w:jc w:val="center"/>
              <w:rPr>
                <w:b/>
                <w:i w:val="false"/>
                <w:caps w:val="false"/>
                <w:smallCaps w:val="false"/>
              </w:rPr>
            </w:pPr>
            <w:bookmarkStart w:id="11" w:name="xdx_905_edei--EntityAddressPostalZipCode"/>
            <w:bookmarkEnd w:id="11"/>
            <w:r>
              <w:rPr>
                <w:b/>
                <w:i w:val="false"/>
                <w:caps w:val="false"/>
                <w:smallCaps w:val="false"/>
              </w:rPr>
              <w:t>02476</w:t>
            </w:r>
          </w:p>
        </w:tc>
      </w:tr>
      <w:tr>
        <w:trPr/>
        <w:tc>
          <w:tcPr>
            <w:tcW w:w="3875" w:type="dxa"/>
            <w:tcBorders/>
            <w:tcMar>
              <w:bottom w:w="0" w:type="dxa"/>
            </w:tcMar>
            <w:vAlign w:val="center"/>
          </w:tcPr>
          <w:p>
            <w:pPr>
              <w:pStyle w:val="TableContents"/>
              <w:bidi w:val="0"/>
              <w:spacing w:before="0" w:after="283"/>
              <w:jc w:val="center"/>
              <w:rPr/>
            </w:pPr>
            <w:r>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1085" w:type="dxa"/>
            <w:tcBorders/>
            <w:tcMar>
              <w:bottom w:w="0" w:type="dxa"/>
            </w:tcMar>
            <w:vAlign w:val="center"/>
          </w:tcPr>
          <w:p>
            <w:pPr>
              <w:pStyle w:val="TableContents"/>
              <w:bidi w:val="0"/>
              <w:spacing w:before="0" w:after="283"/>
              <w:jc w:val="center"/>
              <w:rPr/>
            </w:pPr>
            <w:r>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C_edei--CityAreaCode_c20260722__20"/>
      <w:bookmarkEnd w:id="12"/>
      <w:r>
        <w:rPr>
          <w:rFonts w:ascii="Times New Roman;Times;Serif" w:hAnsi="Times New Roman;Times;Serif"/>
          <w:b/>
          <w:i w:val="false"/>
          <w:caps w:val="false"/>
          <w:smallCaps w:val="false"/>
          <w:sz w:val="20"/>
        </w:rPr>
        <w:t>(781)</w:t>
      </w:r>
      <w:r>
        <w:rPr>
          <w:rFonts w:ascii="Times New Roman;Times;Serif" w:hAnsi="Times New Roman;Times;Serif"/>
          <w:b w:val="false"/>
          <w:i w:val="false"/>
          <w:caps w:val="false"/>
          <w:smallCaps w:val="false"/>
          <w:sz w:val="20"/>
        </w:rPr>
        <w:t xml:space="preserve"> </w:t>
      </w:r>
      <w:bookmarkStart w:id="13" w:name="xdx_90E_edei--LocalPhoneNumber_c20260722"/>
      <w:bookmarkEnd w:id="13"/>
      <w:r>
        <w:rPr>
          <w:rFonts w:ascii="Times New Roman;Times;Serif" w:hAnsi="Times New Roman;Times;Serif"/>
          <w:b/>
          <w:i w:val="false"/>
          <w:caps w:val="false"/>
          <w:smallCaps w:val="false"/>
          <w:sz w:val="20"/>
        </w:rPr>
        <w:t>996-5252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ind w:left="0" w:right="0" w:hanging="0"/>
              <w:jc w:val="left"/>
              <w:rPr>
                <w:caps w:val="false"/>
                <w:smallCaps w:val="false"/>
              </w:rPr>
            </w:pPr>
            <w:bookmarkStart w:id="14" w:name="xdx_903_edei--WrittenCommunications_c202"/>
            <w:bookmarkEnd w:id="14"/>
            <w:r>
              <w:rPr>
                <w:caps w:val="false"/>
                <w:smallCaps w:val="false"/>
              </w:rPr>
              <w:t>☐</w:t>
            </w:r>
          </w:p>
        </w:tc>
        <w:tc>
          <w:tcPr>
            <w:tcW w:w="906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06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ind w:left="0" w:right="0" w:hanging="0"/>
              <w:jc w:val="left"/>
              <w:rPr>
                <w:caps w:val="false"/>
                <w:smallCaps w:val="false"/>
              </w:rPr>
            </w:pPr>
            <w:bookmarkStart w:id="15" w:name="xdx_907_edei--SolicitingMaterial_c202607"/>
            <w:bookmarkEnd w:id="15"/>
            <w:r>
              <w:rPr>
                <w:caps w:val="false"/>
                <w:smallCaps w:val="false"/>
              </w:rPr>
              <w:t>☐</w:t>
            </w:r>
          </w:p>
        </w:tc>
        <w:tc>
          <w:tcPr>
            <w:tcW w:w="906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06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ind w:left="0" w:right="0" w:hanging="0"/>
              <w:jc w:val="left"/>
              <w:rPr>
                <w:caps w:val="false"/>
                <w:smallCaps w:val="false"/>
              </w:rPr>
            </w:pPr>
            <w:bookmarkStart w:id="16" w:name="xdx_903_edei--PreCommencementTenderOffer"/>
            <w:bookmarkEnd w:id="16"/>
            <w:r>
              <w:rPr>
                <w:caps w:val="false"/>
                <w:smallCaps w:val="false"/>
              </w:rPr>
              <w:t>☐</w:t>
            </w:r>
          </w:p>
        </w:tc>
        <w:tc>
          <w:tcPr>
            <w:tcW w:w="906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06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ind w:left="0" w:right="0" w:hanging="0"/>
              <w:jc w:val="left"/>
              <w:rPr>
                <w:caps w:val="false"/>
                <w:smallCaps w:val="false"/>
              </w:rPr>
            </w:pPr>
            <w:bookmarkStart w:id="17" w:name="xdx_906_edei--PreCommencementIssuerTende"/>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925" w:type="dxa"/>
        <w:jc w:val="left"/>
        <w:tblInd w:w="0" w:type="dxa"/>
        <w:tblLayout w:type="fixed"/>
        <w:tblCellMar>
          <w:top w:w="0" w:type="dxa"/>
          <w:left w:w="0" w:type="dxa"/>
          <w:bottom w:w="28" w:type="dxa"/>
          <w:right w:w="0" w:type="dxa"/>
        </w:tblCellMar>
      </w:tblPr>
      <w:tblGrid>
        <w:gridCol w:w="3515"/>
        <w:gridCol w:w="60"/>
        <w:gridCol w:w="1580"/>
        <w:gridCol w:w="60"/>
        <w:gridCol w:w="3710"/>
      </w:tblGrid>
      <w:tr>
        <w:trPr/>
        <w:tc>
          <w:tcPr>
            <w:tcW w:w="3515" w:type="dxa"/>
            <w:tcBorders>
              <w:bottom w:val="single" w:sz="8" w:space="0" w:color="000000"/>
            </w:tcBorders>
            <w:vAlign w:val="center"/>
          </w:tcPr>
          <w:p>
            <w:pPr>
              <w:pStyle w:val="TableContents"/>
              <w:bidi w:val="0"/>
              <w:spacing w:before="0" w:after="283"/>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5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3710" w:type="dxa"/>
            <w:tcBorders>
              <w:bottom w:val="single" w:sz="8" w:space="0" w:color="000000"/>
            </w:tcBorders>
            <w:vAlign w:val="center"/>
          </w:tcPr>
          <w:p>
            <w:pPr>
              <w:pStyle w:val="TableContents"/>
              <w:bidi w:val="0"/>
              <w:spacing w:before="0" w:after="283"/>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5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D_edei--Security12bTitle_c20260722"/>
            <w:bookmarkEnd w:id="18"/>
            <w:r>
              <w:rPr>
                <w:rFonts w:ascii="Times New Roman;Times;Serif" w:hAnsi="Times New Roman;Times;Serif"/>
                <w:b w:val="false"/>
                <w:i w:val="false"/>
                <w:caps w:val="false"/>
                <w:smallCaps w:val="false"/>
                <w:sz w:val="20"/>
              </w:rPr>
              <w:t>Common Stock, $0.001 par value per share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58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B_edei--TradingSymbol_c20260722__2"/>
            <w:bookmarkEnd w:id="19"/>
            <w:r>
              <w:rPr>
                <w:rFonts w:ascii="Times New Roman;Times;Serif" w:hAnsi="Times New Roman;Times;Serif"/>
                <w:b w:val="false"/>
                <w:i w:val="false"/>
                <w:caps w:val="false"/>
                <w:smallCaps w:val="false"/>
                <w:sz w:val="20"/>
              </w:rPr>
              <w:t>KALA</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4_edei--SecurityExchangeName_c2026"/>
            <w:bookmarkEnd w:id="20"/>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3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2088" w:type="dxa"/>
        <w:jc w:val="left"/>
        <w:tblInd w:w="0" w:type="dxa"/>
        <w:tblLayout w:type="fixed"/>
        <w:tblCellMar>
          <w:top w:w="0" w:type="dxa"/>
          <w:left w:w="0" w:type="dxa"/>
          <w:bottom w:w="0" w:type="dxa"/>
          <w:right w:w="0" w:type="dxa"/>
        </w:tblCellMar>
      </w:tblPr>
      <w:tblGrid>
        <w:gridCol w:w="38"/>
        <w:gridCol w:w="860"/>
        <w:gridCol w:w="1190"/>
      </w:tblGrid>
      <w:tr>
        <w:trPr/>
        <w:tc>
          <w:tcPr>
            <w:tcW w:w="3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8.01.</w:t>
            </w:r>
          </w:p>
        </w:tc>
        <w:tc>
          <w:tcPr>
            <w:tcW w:w="11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Other Events.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2026, the Company filed a prospectus supplement pursuant to Rule 424(b) under the Securities Act of 1933, as amended, relating to the offering of securities pursuant to the Company’s effective Registration Statement on Form S-3 (File No. 333-295667). The Company is filing this report to provide the legal opinion as to the validity of the securities being offered pursuant to the prospectus supplement. Such opinion is attached hereto as Exhibit 5.1.</w:t>
      </w:r>
    </w:p>
    <w:p>
      <w:pPr>
        <w:pStyle w:val="TextBody"/>
        <w:bidi w:val="0"/>
        <w:spacing w:before="0" w:after="0"/>
        <w:ind w:left="0" w:right="0" w:hanging="0"/>
        <w:jc w:val="both"/>
        <w:rPr>
          <w:caps w:val="false"/>
          <w:smallCaps w:val="false"/>
        </w:rPr>
      </w:pPr>
      <w:r>
        <w:rPr>
          <w:caps w:val="false"/>
          <w:smallCaps w:val="false"/>
        </w:rPr>
        <w:t> </w:t>
      </w:r>
    </w:p>
    <w:tbl>
      <w:tblPr>
        <w:tblW w:w="3858" w:type="dxa"/>
        <w:jc w:val="left"/>
        <w:tblInd w:w="0" w:type="dxa"/>
        <w:tblLayout w:type="fixed"/>
        <w:tblCellMar>
          <w:top w:w="0" w:type="dxa"/>
          <w:left w:w="0" w:type="dxa"/>
          <w:bottom w:w="0" w:type="dxa"/>
          <w:right w:w="0" w:type="dxa"/>
        </w:tblCellMar>
      </w:tblPr>
      <w:tblGrid>
        <w:gridCol w:w="38"/>
        <w:gridCol w:w="860"/>
        <w:gridCol w:w="2960"/>
      </w:tblGrid>
      <w:tr>
        <w:trPr/>
        <w:tc>
          <w:tcPr>
            <w:tcW w:w="3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jc w:val="both"/>
        <w:rPr>
          <w:caps w:val="false"/>
          <w:smallCaps w:val="false"/>
        </w:rPr>
      </w:pPr>
      <w:r>
        <w:rPr>
          <w:caps w:val="false"/>
          <w:smallCaps w:val="false"/>
        </w:rPr>
        <w:t> </w:t>
      </w:r>
    </w:p>
    <w:tbl>
      <w:tblPr>
        <w:tblW w:w="1053" w:type="dxa"/>
        <w:jc w:val="left"/>
        <w:tblInd w:w="0" w:type="dxa"/>
        <w:tblLayout w:type="fixed"/>
        <w:tblCellMar>
          <w:top w:w="0" w:type="dxa"/>
          <w:left w:w="0" w:type="dxa"/>
          <w:bottom w:w="0" w:type="dxa"/>
          <w:right w:w="0" w:type="dxa"/>
        </w:tblCellMar>
      </w:tblPr>
      <w:tblGrid>
        <w:gridCol w:w="38"/>
        <w:gridCol w:w="245"/>
        <w:gridCol w:w="7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8890" w:type="dxa"/>
        <w:jc w:val="left"/>
        <w:tblInd w:w="0" w:type="dxa"/>
        <w:tblLayout w:type="fixed"/>
        <w:tblCellMar>
          <w:top w:w="0" w:type="dxa"/>
          <w:left w:w="0" w:type="dxa"/>
          <w:bottom w:w="28" w:type="dxa"/>
          <w:right w:w="0" w:type="dxa"/>
        </w:tblCellMar>
      </w:tblPr>
      <w:tblGrid>
        <w:gridCol w:w="1205"/>
        <w:gridCol w:w="60"/>
        <w:gridCol w:w="7625"/>
      </w:tblGrid>
      <w:tr>
        <w:trPr/>
        <w:tc>
          <w:tcPr>
            <w:tcW w:w="1205" w:type="dxa"/>
            <w:tcBorders>
              <w:bottom w:val="single" w:sz="8"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7625" w:type="dxa"/>
            <w:tcBorders>
              <w:bottom w:val="single" w:sz="8" w:space="0" w:color="000000"/>
            </w:tcBorders>
            <w:vAlign w:val="center"/>
          </w:tcPr>
          <w:p>
            <w:pPr>
              <w:pStyle w:val="TableContents"/>
              <w:bidi w:val="0"/>
              <w:spacing w:before="0" w:after="283"/>
              <w:jc w:val="left"/>
              <w:rPr>
                <w:b/>
              </w:rPr>
            </w:pPr>
            <w:r>
              <w:rPr>
                <w:b/>
              </w:rPr>
              <w:t>Description</w:t>
            </w:r>
          </w:p>
        </w:tc>
      </w:tr>
      <w:tr>
        <w:trPr/>
        <w:tc>
          <w:tcPr>
            <w:tcW w:w="1205" w:type="dxa"/>
            <w:tcBorders/>
            <w:shd w:fill="CCEEFF" w:val="clear"/>
            <w:tcMar>
              <w:bottom w:w="0" w:type="dxa"/>
            </w:tcMar>
            <w:vAlign w:val="center"/>
          </w:tcPr>
          <w:p>
            <w:pPr>
              <w:pStyle w:val="TableContents"/>
              <w:bidi w:val="0"/>
              <w:spacing w:before="0" w:after="283"/>
              <w:jc w:val="left"/>
              <w:rPr/>
            </w:pPr>
            <w:r>
              <w:rPr/>
              <w:t>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25" w:type="dxa"/>
            <w:tcBorders/>
            <w:shd w:fill="CCEEFF" w:val="clear"/>
            <w:tcMar>
              <w:bottom w:w="0" w:type="dxa"/>
            </w:tcMar>
            <w:vAlign w:val="center"/>
          </w:tcPr>
          <w:p>
            <w:pPr>
              <w:pStyle w:val="TableContents"/>
              <w:bidi w:val="0"/>
              <w:spacing w:before="0" w:after="283"/>
              <w:jc w:val="both"/>
              <w:rPr/>
            </w:pPr>
            <w:hyperlink w:anchor="kalabio_ex5-1.htm">
              <w:r>
                <w:rPr>
                  <w:rStyle w:val="InternetLink"/>
                </w:rPr>
                <w:t>Opinion of Haynes and Boone, LLP</w:t>
              </w:r>
            </w:hyperlink>
          </w:p>
        </w:tc>
      </w:tr>
      <w:tr>
        <w:trPr/>
        <w:tc>
          <w:tcPr>
            <w:tcW w:w="1205" w:type="dxa"/>
            <w:tcBorders/>
            <w:shd w:fill="FFFFFF" w:val="clear"/>
            <w:tcMar>
              <w:bottom w:w="0" w:type="dxa"/>
            </w:tcMar>
            <w:vAlign w:val="center"/>
          </w:tcPr>
          <w:p>
            <w:pPr>
              <w:pStyle w:val="TableContents"/>
              <w:bidi w:val="0"/>
              <w:spacing w:before="0" w:after="283"/>
              <w:jc w:val="left"/>
              <w:rPr/>
            </w:pPr>
            <w:r>
              <w:rPr/>
              <w:t>23.1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25" w:type="dxa"/>
            <w:tcBorders/>
            <w:shd w:fill="FFFFFF" w:val="clear"/>
            <w:tcMar>
              <w:bottom w:w="0" w:type="dxa"/>
            </w:tcMar>
            <w:vAlign w:val="center"/>
          </w:tcPr>
          <w:p>
            <w:pPr>
              <w:pStyle w:val="TableContents"/>
              <w:bidi w:val="0"/>
              <w:spacing w:before="0" w:after="283"/>
              <w:jc w:val="both"/>
              <w:rPr/>
            </w:pPr>
            <w:hyperlink w:anchor="kalabio_ex5-1.htm">
              <w:r>
                <w:rPr>
                  <w:rStyle w:val="InternetLink"/>
                </w:rPr>
                <w:t>Consent of Haynes and Boone, LLP (contained in Exhibit 5.1)</w:t>
              </w:r>
            </w:hyperlink>
          </w:p>
        </w:tc>
      </w:tr>
      <w:tr>
        <w:trPr/>
        <w:tc>
          <w:tcPr>
            <w:tcW w:w="1205" w:type="dxa"/>
            <w:tcBorders/>
            <w:shd w:fill="CCEEFF" w:val="clear"/>
            <w:tcMar>
              <w:bottom w:w="0" w:type="dxa"/>
            </w:tcMar>
            <w:vAlign w:val="center"/>
          </w:tcPr>
          <w:p>
            <w:pPr>
              <w:pStyle w:val="TableContents"/>
              <w:bidi w:val="0"/>
              <w:spacing w:before="0" w:after="283"/>
              <w:jc w:val="left"/>
              <w:rPr/>
            </w:pPr>
            <w:r>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25" w:type="dxa"/>
            <w:tcBorders/>
            <w:shd w:fill="CCEEFF" w:val="clear"/>
            <w:tcMar>
              <w:bottom w:w="0" w:type="dxa"/>
            </w:tcMar>
            <w:vAlign w:val="center"/>
          </w:tcPr>
          <w:p>
            <w:pPr>
              <w:pStyle w:val="TableContents"/>
              <w:bidi w:val="0"/>
              <w:spacing w:before="0" w:after="283"/>
              <w:jc w:val="both"/>
              <w:rPr/>
            </w:pPr>
            <w:r>
              <w:rPr/>
              <w:t>Cover Page Interactive Data File (embedded within the Inline XBRL document)</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3900" w:type="dxa"/>
        <w:jc w:val="left"/>
        <w:tblInd w:w="0" w:type="dxa"/>
        <w:shd w:fill="FFFFFF" w:val="clear"/>
        <w:tblLayout w:type="fixed"/>
        <w:tblCellMar>
          <w:top w:w="0" w:type="dxa"/>
          <w:left w:w="0" w:type="dxa"/>
          <w:bottom w:w="0" w:type="dxa"/>
          <w:right w:w="0" w:type="dxa"/>
        </w:tblCellMar>
      </w:tblPr>
      <w:tblGrid>
        <w:gridCol w:w="1625"/>
        <w:gridCol w:w="320"/>
        <w:gridCol w:w="1955"/>
      </w:tblGrid>
      <w:tr>
        <w:trPr/>
        <w:tc>
          <w:tcPr>
            <w:tcW w:w="162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2275" w:type="dxa"/>
            <w:gridSpan w:val="2"/>
            <w:tcBorders/>
            <w:shd w:fill="FFFFFF" w:val="clear"/>
            <w:vAlign w:val="center"/>
          </w:tcPr>
          <w:p>
            <w:pPr>
              <w:pStyle w:val="TableContents"/>
              <w:bidi w:val="0"/>
              <w:spacing w:before="0" w:after="283"/>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KALA BIO, INC.</w:t>
            </w:r>
          </w:p>
        </w:tc>
      </w:tr>
      <w:tr>
        <w:trPr/>
        <w:tc>
          <w:tcPr>
            <w:tcW w:w="162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20"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95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1625"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22, 2026</w:t>
            </w:r>
          </w:p>
        </w:tc>
        <w:tc>
          <w:tcPr>
            <w:tcW w:w="320"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Avi Minkowitz</w:t>
            </w:r>
          </w:p>
        </w:tc>
      </w:tr>
      <w:tr>
        <w:trPr/>
        <w:tc>
          <w:tcPr>
            <w:tcW w:w="162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20"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955"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Avi Minkowitz</w:t>
            </w:r>
          </w:p>
        </w:tc>
      </w:tr>
      <w:tr>
        <w:trPr/>
        <w:tc>
          <w:tcPr>
            <w:tcW w:w="162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20"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jc w:val="left"/>
        <w:rPr>
          <w:caps w:val="false"/>
          <w:smallCaps w:val="false"/>
        </w:rPr>
      </w:pPr>
      <w:bookmarkStart w:id="22" w:name="kalabio_ex5-1.htm"/>
      <w:bookmarkStart w:id="23" w:name="kskalabio_ex51"/>
      <w:bookmarkEnd w:id="22"/>
      <w:bookmarkEnd w:id="23"/>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jc w:val="left"/>
        <w:rPr>
          <w:caps w:val="false"/>
          <w:smallCaps w:val="false"/>
        </w:rPr>
      </w:pPr>
      <w:r>
        <w:rPr>
          <w:caps w:val="false"/>
          <w:smallCaps w:val="false"/>
        </w:rPr>
        <w:t> </w:t>
      </w:r>
    </w:p>
    <w:tbl>
      <w:tblPr>
        <w:tblW w:w="4440" w:type="dxa"/>
        <w:jc w:val="left"/>
        <w:tblInd w:w="0" w:type="dxa"/>
        <w:tblLayout w:type="fixed"/>
        <w:tblCellMar>
          <w:top w:w="0" w:type="dxa"/>
          <w:left w:w="0" w:type="dxa"/>
          <w:bottom w:w="0" w:type="dxa"/>
          <w:right w:w="0" w:type="dxa"/>
        </w:tblCellMar>
      </w:tblPr>
      <w:tblGrid>
        <w:gridCol w:w="3765"/>
        <w:gridCol w:w="60"/>
        <w:gridCol w:w="615"/>
      </w:tblGrid>
      <w:tr>
        <w:trPr/>
        <w:tc>
          <w:tcPr>
            <w:tcW w:w="3765"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2381250" cy="200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0" cy="200025"/>
                          </a:xfrm>
                          <a:prstGeom prst="rect">
                            <a:avLst/>
                          </a:prstGeom>
                        </pic:spPr>
                      </pic:pic>
                    </a:graphicData>
                  </a:graphic>
                </wp:inline>
              </w:drawing>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5" w:type="dxa"/>
            <w:tcBorders/>
            <w:vAlign w:val="center"/>
          </w:tcPr>
          <w:p>
            <w:pPr>
              <w:pStyle w:val="TableContents"/>
              <w:bidi w:val="0"/>
              <w:spacing w:before="0" w:after="283"/>
              <w:jc w:val="right"/>
              <w:rPr>
                <w:caps w:val="false"/>
                <w:smallCaps w:val="false"/>
              </w:rPr>
            </w:pPr>
            <w:r>
              <w:rPr>
                <w:caps w:val="false"/>
                <w:smallCaps w:val="false"/>
              </w:rPr>
              <w:drawing>
                <wp:inline distT="0" distB="0" distL="0" distR="0">
                  <wp:extent cx="381000" cy="390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81000" cy="390525"/>
                          </a:xfrm>
                          <a:prstGeom prst="rect">
                            <a:avLst/>
                          </a:prstGeom>
                        </pic:spPr>
                      </pic:pic>
                    </a:graphicData>
                  </a:graphic>
                </wp:inline>
              </w:drawing>
            </w:r>
          </w:p>
        </w:tc>
      </w:tr>
    </w:tbl>
    <w:p>
      <w:pPr>
        <w:pStyle w:val="TextBody"/>
        <w:bidi w:val="0"/>
        <w:jc w:val="left"/>
        <w:rPr>
          <w:caps w:val="false"/>
          <w:smallCaps w:val="false"/>
        </w:rPr>
      </w:pPr>
      <w:r>
        <w:rPr>
          <w:caps w:val="false"/>
          <w:smallCaps w:val="false"/>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22, 2026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KALA BIO, Inc.</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1167 Massachusetts Avenue</w:t>
        <w:br/>
        <w:t>Arlington, MA 02476</w:t>
      </w:r>
    </w:p>
    <w:p>
      <w:pPr>
        <w:pStyle w:val="TextBody"/>
        <w:bidi w:val="0"/>
        <w:jc w:val="left"/>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320"/>
        <w:gridCol w:w="5405"/>
      </w:tblGrid>
      <w:tr>
        <w:trPr/>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w:t>
            </w:r>
          </w:p>
        </w:tc>
        <w:tc>
          <w:tcPr>
            <w:tcW w:w="5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KALA BIO, Inc.</w:t>
            </w:r>
          </w:p>
        </w:tc>
      </w:tr>
      <w:tr>
        <w:trPr/>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 on Form S-3, Registration No. 333-295667</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KALA BIO,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in connection with the preparation and filing with the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on the date hereof, pursuant to Rule 424(b) under the Securities Act of 1933, as amended (the “</w:t>
      </w:r>
      <w:r>
        <w:rPr>
          <w:rFonts w:ascii="Times New Roman;Times;Serif" w:hAnsi="Times New Roman;Times;Serif"/>
          <w:b/>
          <w:i/>
          <w:caps w:val="false"/>
          <w:smallCaps w:val="false"/>
          <w:sz w:val="20"/>
        </w:rPr>
        <w:t>Act”</w:t>
      </w:r>
      <w:r>
        <w:rPr>
          <w:rFonts w:ascii="Times New Roman;Times;Serif" w:hAnsi="Times New Roman;Times;Serif"/>
          <w:b w:val="false"/>
          <w:i w:val="false"/>
          <w:caps w:val="false"/>
          <w:smallCaps w:val="false"/>
          <w:sz w:val="20"/>
        </w:rPr>
        <w:t>) of the Company’s prospectus supplement, dated July 22, 2026 (the “</w:t>
      </w:r>
      <w:r>
        <w:rPr>
          <w:rFonts w:ascii="Times New Roman;Times;Serif" w:hAnsi="Times New Roman;Times;Serif"/>
          <w:b/>
          <w:i/>
          <w:caps w:val="false"/>
          <w:smallCaps w:val="false"/>
          <w:sz w:val="20"/>
        </w:rPr>
        <w:t>Prospectus Supplement</w:t>
      </w:r>
      <w:r>
        <w:rPr>
          <w:rFonts w:ascii="Times New Roman;Times;Serif" w:hAnsi="Times New Roman;Times;Serif"/>
          <w:b w:val="false"/>
          <w:i w:val="false"/>
          <w:caps w:val="false"/>
          <w:smallCaps w:val="false"/>
          <w:sz w:val="20"/>
        </w:rPr>
        <w:t>”), forming part of the registration statement on Form S-3 (Registration No. 333-295667), initially filed by the Company with the Commission on May 7, 2026 as thereafter amended or supplemented, and declared effective on June 25, 2026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have acted as counsel to the Company in connection with an offering of up to $250,000,000 of shares (the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of the Company’s common stock, par value $0.001 per share (the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that may be issued and sold under that certain At The Market Offering Agreement executed by the Company and H.C. Wainwright &amp; Co., LLC, on January 8, 2026 (the “</w:t>
      </w:r>
      <w:r>
        <w:rPr>
          <w:rFonts w:ascii="Times New Roman;Times;Serif" w:hAnsi="Times New Roman;Times;Serif"/>
          <w:b/>
          <w:i/>
          <w:caps w:val="false"/>
          <w:smallCaps w:val="false"/>
          <w:sz w:val="20"/>
        </w:rPr>
        <w:t>Sales Agreement</w:t>
      </w:r>
      <w:r>
        <w:rPr>
          <w:rFonts w:ascii="Times New Roman;Times;Serif" w:hAnsi="Times New Roman;Times;Serif"/>
          <w:b w:val="false"/>
          <w:i w:val="false"/>
          <w:caps w:val="false"/>
          <w:smallCaps w:val="false"/>
          <w:sz w:val="20"/>
        </w:rPr>
        <w:t>”). The Prospectus Supplement relates to the Shares.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 set forth herein, we have examined the originals, or photostatic or certified copies, of (i) the Restated Certificate of Incorporation, as amended, and the Third Amended and Restated By-laws of the Company, each as amended and/or restated as of the date hereof, (ii) certain resolutions of the Board of Directors of the Company related to the filing of the Registration Statement and the Prospectus Supplement, the authorization and issuance of the Shares and related matters, (iii) the Registration Statement and all exhibits thereto, (iv) the Prospectus Supplement and the base prospectus, dated June 25, 2026, included in the Registration Statement (the “</w:t>
      </w:r>
      <w:r>
        <w:rPr>
          <w:rFonts w:ascii="Times New Roman;Times;Serif" w:hAnsi="Times New Roman;Times;Serif"/>
          <w:b/>
          <w:i/>
          <w:caps w:val="false"/>
          <w:smallCaps w:val="false"/>
          <w:sz w:val="20"/>
        </w:rPr>
        <w:t>Base Prospectus</w:t>
      </w:r>
      <w:r>
        <w:rPr>
          <w:rFonts w:ascii="Times New Roman;Times;Serif" w:hAnsi="Times New Roman;Times;Serif"/>
          <w:b w:val="false"/>
          <w:i w:val="false"/>
          <w:caps w:val="false"/>
          <w:smallCaps w:val="false"/>
          <w:sz w:val="20"/>
        </w:rPr>
        <w:t>” and together with the Prospectus Supplement, the “</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 (v) the Sales Agreement, (vi) the specimen Common Stock certificate, (vii) a certificate executed by an officer of the Company, dated as of the date hereof, and (viii) such other records, documents and instruments as we deemed relevant and necessary for purposes of the opinion stated herein.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relied upon such certificates of officers of the Company and of public officials and statements and information furnished by officers of the Company with respect to the accuracy of material factual matters contained therein which were not independently established by us. In such examination we have assumed the genuineness of all signatures, the authenticity of all documents submitted to us as originals, the conformity to original documents of all documents submitted to us as photostatic or certified copies, and the authenticity of the originals of such copies.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making the foregoing examination we have assumed the genuineness of all signatures, the legal capacity of all natural persons, the authenticity of all documents submitted to us as originals, the conformity to original documents of all documents submitted to us as photostatic or certified copies, and the authenticity of the originals of such copies. As to all questions of fact material to this opinion, where such facts have not been independently established, we have relied, to the extent we have deemed reasonably appropriate, upon representations or certificates of officers of the Company or governmental officials.</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28" w:type="dxa"/>
        </w:tblCellMar>
      </w:tblPr>
      <w:tblGrid>
        <w:gridCol w:w="2255"/>
        <w:gridCol w:w="4970"/>
      </w:tblGrid>
      <w:tr>
        <w:trPr/>
        <w:tc>
          <w:tcPr>
            <w:tcW w:w="2255" w:type="dxa"/>
            <w:tcBorders>
              <w:right w:val="single" w:sz="8" w:space="0" w:color="000000"/>
            </w:tcBorders>
            <w:vAlign w:val="center"/>
          </w:tcPr>
          <w:p>
            <w:pPr>
              <w:pStyle w:val="TableContents"/>
              <w:bidi w:val="0"/>
              <w:spacing w:before="0" w:after="0"/>
              <w:jc w:val="left"/>
              <w:rPr>
                <w:rFonts w:ascii="Arial;Helvetica;Sans-Serif" w:hAnsi="Arial;Helvetica;Sans-Serif"/>
                <w:b w:val="false"/>
                <w:i w:val="false"/>
                <w:caps w:val="false"/>
                <w:smallCaps w:val="false"/>
                <w:color w:val="5B1359"/>
                <w:sz w:val="16"/>
              </w:rPr>
            </w:pPr>
            <w:r>
              <w:rPr>
                <w:rFonts w:ascii="Arial;Helvetica;Sans-Serif" w:hAnsi="Arial;Helvetica;Sans-Serif"/>
                <w:b w:val="false"/>
                <w:i w:val="false"/>
                <w:caps w:val="false"/>
                <w:smallCaps w:val="false"/>
                <w:color w:val="5B1359"/>
                <w:sz w:val="16"/>
              </w:rPr>
              <w:t>Haynes and Boone, LLP          </w:t>
            </w:r>
          </w:p>
        </w:tc>
        <w:tc>
          <w:tcPr>
            <w:tcW w:w="4970" w:type="dxa"/>
            <w:tcBorders/>
            <w:tcMar>
              <w:right w:w="0" w:type="dxa"/>
            </w:tcMar>
            <w:vAlign w:val="center"/>
          </w:tcPr>
          <w:p>
            <w:pPr>
              <w:pStyle w:val="TableContents"/>
              <w:bidi w:val="0"/>
              <w:spacing w:before="0" w:after="60"/>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30 Rockefeller Plaza  |  26th Floor  |  New York, NY 10112</w:t>
            </w:r>
          </w:p>
          <w:p>
            <w:pPr>
              <w:pStyle w:val="TableContents"/>
              <w:bidi w:val="0"/>
              <w:spacing w:before="0" w:after="0"/>
              <w:jc w:val="left"/>
              <w:rPr>
                <w:caps w:val="false"/>
                <w:smallCaps w:val="false"/>
              </w:rPr>
            </w:pPr>
            <w:r>
              <w:rPr>
                <w:caps w:val="false"/>
                <w:smallCaps w:val="false"/>
              </w:rPr>
              <w:t>            </w:t>
            </w:r>
            <w:r>
              <w:rPr>
                <w:rFonts w:ascii="Arial;Helvetica;Sans-Serif" w:hAnsi="Arial;Helvetica;Sans-Serif"/>
                <w:b w:val="false"/>
                <w:i w:val="false"/>
                <w:smallCaps/>
                <w:sz w:val="16"/>
              </w:rPr>
              <w:t>t</w:t>
            </w:r>
            <w:r>
              <w:rPr>
                <w:rFonts w:ascii="Arial;Helvetica;Sans-Serif" w:hAnsi="Arial;Helvetica;Sans-Serif"/>
                <w:b w:val="false"/>
                <w:i w:val="false"/>
                <w:caps w:val="false"/>
                <w:smallCaps w:val="false"/>
                <w:sz w:val="16"/>
              </w:rPr>
              <w:t>: 212.659.7300  |  haynesboone.com</w:t>
            </w:r>
          </w:p>
        </w:tc>
      </w:tr>
    </w:tbl>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tbl>
      <w:tblPr>
        <w:tblW w:w="4440" w:type="dxa"/>
        <w:jc w:val="left"/>
        <w:tblInd w:w="0" w:type="dxa"/>
        <w:tblLayout w:type="fixed"/>
        <w:tblCellMar>
          <w:top w:w="0" w:type="dxa"/>
          <w:left w:w="0" w:type="dxa"/>
          <w:bottom w:w="0" w:type="dxa"/>
          <w:right w:w="0" w:type="dxa"/>
        </w:tblCellMar>
      </w:tblPr>
      <w:tblGrid>
        <w:gridCol w:w="3765"/>
        <w:gridCol w:w="60"/>
        <w:gridCol w:w="615"/>
      </w:tblGrid>
      <w:tr>
        <w:trPr/>
        <w:tc>
          <w:tcPr>
            <w:tcW w:w="3765"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2381250" cy="2000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381250" cy="200025"/>
                          </a:xfrm>
                          <a:prstGeom prst="rect">
                            <a:avLst/>
                          </a:prstGeom>
                        </pic:spPr>
                      </pic:pic>
                    </a:graphicData>
                  </a:graphic>
                </wp:inline>
              </w:drawing>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5" w:type="dxa"/>
            <w:tcBorders/>
            <w:vAlign w:val="center"/>
          </w:tcPr>
          <w:p>
            <w:pPr>
              <w:pStyle w:val="TableContents"/>
              <w:bidi w:val="0"/>
              <w:spacing w:before="0" w:after="283"/>
              <w:jc w:val="right"/>
              <w:rPr>
                <w:caps w:val="false"/>
                <w:smallCaps w:val="false"/>
              </w:rPr>
            </w:pPr>
            <w:r>
              <w:rPr>
                <w:caps w:val="false"/>
                <w:smallCaps w:val="false"/>
              </w:rPr>
              <w:drawing>
                <wp:inline distT="0" distB="0" distL="0" distR="0">
                  <wp:extent cx="381000" cy="3905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81000" cy="390525"/>
                          </a:xfrm>
                          <a:prstGeom prst="rect">
                            <a:avLst/>
                          </a:prstGeom>
                        </pic:spPr>
                      </pic:pic>
                    </a:graphicData>
                  </a:graphic>
                </wp:inline>
              </w:drawing>
            </w:r>
          </w:p>
        </w:tc>
      </w:tr>
      <w:tr>
        <w:trPr/>
        <w:tc>
          <w:tcPr>
            <w:tcW w:w="37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KALA BIO, Inc.</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22,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considered, and express no opinion herein as to, the laws of any state or jurisdiction other than the General Corporation Law of the State of Delaware and the laws of the State of New York, as currently in effect (all of the foregoing being referred to as the “</w:t>
      </w:r>
      <w:r>
        <w:rPr>
          <w:rFonts w:ascii="Times New Roman;Times;Serif" w:hAnsi="Times New Roman;Times;Serif"/>
          <w:b/>
          <w:i/>
          <w:caps w:val="false"/>
          <w:smallCaps w:val="false"/>
          <w:sz w:val="20"/>
        </w:rPr>
        <w:t>Opined on Law</w:t>
      </w:r>
      <w:r>
        <w:rPr>
          <w:rFonts w:ascii="Times New Roman;Times;Serif" w:hAnsi="Times New Roman;Times;Serif"/>
          <w:b w:val="false"/>
          <w:i w:val="false"/>
          <w:caps w:val="false"/>
          <w:smallCaps w:val="false"/>
          <w:sz w:val="20"/>
        </w:rPr>
        <w:t>”). We do not express any opinion with respect to any other laws, or the laws of any other jurisdiction (including, without limitation, any laws of any other jurisdiction which might be referenced by the choice-of-law rules of the Opined on Law), other than the Opined on Law or as to the effect of any such other laws on the opinions herein stated.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qualifications, assumptions and limitations stated herein, we are of the opinion that upon payment and delivery in accordance with the Sales Agreement, the Shares will be validly issued, fully paid and nonassessable.</w:t>
      </w:r>
    </w:p>
    <w:p>
      <w:pPr>
        <w:pStyle w:val="TextBody"/>
        <w:bidi w:val="0"/>
        <w:jc w:val="left"/>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set forth above are subject to the following qualifications, limitations and exceptions: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opinions are subject to (i) the effect of any applicable bankruptcy, insolvency, reorganization, moratorium, rearrangement, liquidation, conservatorship or other similar laws now or hereafter in effect relating to or affecting the rights of creditors generally, (ii) provisions of applicable law pertaining to the voidability of preferential or fraudulent transfers and conveyances and (iii) the fact that the remedy of specific performance and injunctive and other forms of equitable relief may be subject to equitable defenses and to the discretion of the court before which any proceeding therefor may be brought.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opinions are subject to the effect of (i) general principles of equity, including (without limitation) concepts of materiality, reasonableness, good faith and fair dealing, general matters of public policy and other similar doctrines generally affecting the enforceability of agreements (regardless of whether considered in a proceeding in equity or at law) (ii) obligations of good faith and fair dealing under New York law, (iii) provisions purporting to make a guarantor primarily liable rather than as a surety and (iv) other commonly-recognized statutory and judicial constraints on enforceability, including statutes of limitation, limitations on rights to indemnification that contravene law or public policy and the effectiveness of waivers of rights or benefits that cannot be effectively waived under applicable law.</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5.1 to the Company’s Current Report on Form 8-K to be filed with the Commission. We further consent to the reference to our firm under the caption “Legal Matters” in the Prospectus constituting a part of the Registration Statement. In giving this consent, we are not admitting that we are within the category of persons whose consent is required under Section 7 of the Act or the rules and regulations of the Commission thereunder. This opinion is given as of the date hereof and we assume no obligation to update or supplement such opinion after the date hereof to reflect any facts or circumstances that may thereafter come to our attention or any changes that may thereafter occur.</w:t>
      </w:r>
    </w:p>
    <w:p>
      <w:pPr>
        <w:pStyle w:val="TextBody"/>
        <w:bidi w:val="0"/>
        <w:jc w:val="left"/>
        <w:rPr>
          <w:caps w:val="false"/>
          <w:smallCaps w:val="false"/>
        </w:rPr>
      </w:pPr>
      <w:r>
        <w:rPr>
          <w:caps w:val="false"/>
          <w:smallCaps w:val="false"/>
        </w:rPr>
        <w:t> </w:t>
      </w:r>
    </w:p>
    <w:tbl>
      <w:tblPr>
        <w:tblW w:w="2735" w:type="dxa"/>
        <w:jc w:val="left"/>
        <w:tblInd w:w="0" w:type="dxa"/>
        <w:tblLayout w:type="fixed"/>
        <w:tblCellMar>
          <w:top w:w="0" w:type="dxa"/>
          <w:left w:w="0" w:type="dxa"/>
          <w:bottom w:w="0" w:type="dxa"/>
          <w:right w:w="0" w:type="dxa"/>
        </w:tblCellMar>
      </w:tblPr>
      <w:tblGrid>
        <w:gridCol w:w="75"/>
        <w:gridCol w:w="2660"/>
      </w:tblGrid>
      <w:tr>
        <w:trPr/>
        <w:tc>
          <w:tcPr>
            <w:tcW w:w="75"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Very truly yours,</w:t>
            </w:r>
          </w:p>
        </w:tc>
      </w:tr>
      <w:tr>
        <w:trPr/>
        <w:tc>
          <w:tcPr>
            <w:tcW w:w="75"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283"/>
              <w:jc w:val="left"/>
              <w:rPr>
                <w:i/>
              </w:rPr>
            </w:pPr>
            <w:r>
              <w:rPr>
                <w:i/>
              </w:rPr>
              <w:t>/s/ Haynes and Boone, LLP</w:t>
            </w:r>
          </w:p>
        </w:tc>
      </w:tr>
      <w:tr>
        <w:trPr/>
        <w:tc>
          <w:tcPr>
            <w:tcW w:w="75"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Haynes and Boone, LLP</w:t>
            </w:r>
          </w:p>
        </w:tc>
      </w:tr>
    </w:tbl>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1573</Words>
  <Characters>8430</Characters>
  <CharactersWithSpaces>10059</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