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U.S. Securities and Exchange Commission on May 7, 2026</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S-3</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KALA BIO,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27-0604595</w:t>
            </w:r>
          </w:p>
        </w:tc>
      </w:tr>
      <w:tr>
        <w:trPr>
          <w:trHeight w:val="191"/>
        </w:trPr>
        <w:tc>
          <w:tcPr>
            <w:tcW w:w="54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260" w:type="dxa"/>
            <w:vAlign w:val="bottom"/>
          </w:tcPr>
          <w:p>
            <w:pPr>
              <w:spacing w:after="0"/>
              <w:rPr>
                <w:sz w:val="16"/>
                <w:szCs w:val="16"/>
                <w:color w:val="auto"/>
              </w:rPr>
            </w:pPr>
          </w:p>
        </w:tc>
        <w:tc>
          <w:tcPr>
            <w:tcW w:w="55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5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1167 Massachusetts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Arlington, MA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(781) 996-5252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Avi Minkowitz</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1167 Massachusetts Avenue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Arlington, MA 02476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(781) 996-5252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of all communications, including communications sent to agent for service, should be sent 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Rick A. Werner, Esq.</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Haynes and Boone,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 Rockefeller Plaza, 26th Floor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10112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(212) 659-7300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Fax (212) 884-8234</w:t>
      </w:r>
    </w:p>
    <w:p>
      <w:pPr>
        <w:spacing w:after="0" w:line="203"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Approximate date of commencement of proposed sale to the public</w:t>
      </w:r>
      <w:r>
        <w:rPr>
          <w:rFonts w:ascii="Times New Roman" w:cs="Times New Roman" w:eastAsia="Times New Roman" w:hAnsi="Times New Roman"/>
          <w:sz w:val="18"/>
          <w:szCs w:val="18"/>
          <w:color w:val="auto"/>
        </w:rPr>
        <w:t>: From time to time after the effective date of this Registration Statement.</w:t>
      </w:r>
    </w:p>
    <w:p>
      <w:pPr>
        <w:spacing w:after="0" w:line="229" w:lineRule="exact"/>
        <w:rPr>
          <w:sz w:val="24"/>
          <w:szCs w:val="24"/>
          <w:color w:val="auto"/>
        </w:rPr>
      </w:pPr>
    </w:p>
    <w:p>
      <w:pPr>
        <w:jc w:val="both"/>
        <w:ind w:right="2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right="2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right="2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8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394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8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394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0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4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0"/>
          <w:szCs w:val="20"/>
          <w:color w:val="auto"/>
        </w:rPr>
      </w:pPr>
    </w:p>
    <w:p>
      <w:pPr>
        <w:jc w:val="both"/>
        <w:ind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8"/>
          <w:szCs w:val="18"/>
          <w:color w:val="auto"/>
        </w:rPr>
        <w:t>☐</w:t>
      </w:r>
    </w:p>
    <w:p>
      <w:pPr>
        <w:spacing w:after="0" w:line="16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512445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Registration Statement on Form S-3 (this “Registration Statement”) is being filed by KALA BIO, Inc. (the “Company”) pursuant to Rule 415(a)(6) under the U.S. Securities Act of 1933, as amended (the “Securities Act”), to replace the Company’s Registration Statement on Form S-3 (File No. 333-270263) originally filed with the Securities and Exchange Commission (the “SEC”) on March 3, 2023 and declared effective on May 11, 2023 (the “Prior Registration Statement”).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Rule 415(a)(6) under the Securities Act, we are registering on this Registration Statement an aggregate of $327,820,467 million of unsold securities (the “Unsold Securities”) previously registered under the Prior Registration Statement to be offered, issued and sold by the Company, and the filing fee associated therewith (which amount is based on the filing fee rate in effect at the time of the filing of the Prior Registration Statement) is hereby carried forward to be applied to the Unsold Securities, and no additional filing fee is due with respect to such Unsold Securities in connection with the filing of this Registration Statement.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Rule 415(a)(5) under the Securities Act, the Company intends to continue to offer and sell the Unsold Securities under the Prior Registration Statement until the earlier of (i) the date on which this Registration Statement is declared effective by the SEC and (ii) the date which is 180 days after the third-year anniversary of the effective date of the Prior Registration Statement (the “Expiration Date”). Until the Expiration Date, the Company may continue to use the Prior Registration Statement and related prospectus supplements for offerings thereunder. In accordance with Rule 415(a)(6), the effectiveness of this Registration Statement will be deemed to terminate the Prior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jc w:val="both"/>
        <w:spacing w:after="0" w:line="268" w:lineRule="auto"/>
        <w:rPr>
          <w:sz w:val="20"/>
          <w:szCs w:val="20"/>
          <w:color w:val="auto"/>
        </w:rPr>
      </w:pPr>
      <w:r>
        <w:rPr>
          <w:rFonts w:ascii="Times New Roman" w:cs="Times New Roman" w:eastAsia="Times New Roman" w:hAnsi="Times New Roman"/>
          <w:sz w:val="18"/>
          <w:szCs w:val="18"/>
          <w:b w:val="1"/>
          <w:bCs w:val="1"/>
          <w:color w:val="FF0000"/>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rPr>
        <w:t>SUBJECT TO COMPLETION, DATED MAY 7,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KALA BIO, INC.</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$350,000,000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SUBSCRIPTION RIGHTS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may offer and sell from time to time, in one or more series or issuances and on terms that we will determine at the time of the offering, any combination of the securities described in this prospectus, up to an aggregate amount of $350,000,000.</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provide specific terms of any offering in a supplement to this prospectus. Any prospectus supplement may also add, update, or change information contained in this prospectus. You should carefully read this prospectus and the applicable prospectus supplement as well as the documents incorporated or deemed to be incorporated by reference in this prospectus before you purchase any of the securities offered hereby.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securities may be offered and sold in the same offering or in separate offerings; to or through underwriters, dealers, and agents; or directly to purchasers. The names of any underwriters, dealers, or agents involved in the sale of our securities, their compensation and any over-allotment options held by them will be described in the applicable prospectus supplement. See “Plan of Distribution.”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common stock is listed on The Nasdaq Capital Market (“Nasdaq”) under the symbol “KALA.” On May 6, 2026, the last reported sale price of our common stock was $0.1151 per share as reported on Nasdaq. We recommend that you obtain current market quotations for our common stock prior to making an investment decision. We will provide information in any applicable prospectus supplement regarding any listing of securities other than shares of our common stock on any securities exchange.</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You should carefully read this prospectus, any prospectus supplement relating to any specific offering of securities, and all information incorporated by reference herein and therein.</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These risks are discussed in this prospectus under “Risk Factors” beginning on page 6 and in the documents incorporated by reference in this prospectus.</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(the “SEC”) nor any state securities commission has approved or disapproved of these securities or passed upon the adequacy or accuracy of this prospectus. Any representation to the contrary is a criminal offense.</w:t>
      </w:r>
    </w:p>
    <w:p>
      <w:pPr>
        <w:spacing w:after="0" w:line="15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The date of this prospectus is ________,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7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432"/>
        </w:trPr>
        <w:tc>
          <w:tcPr>
            <w:tcW w:w="56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spacing w:after="0"/>
              <w:rPr>
                <w:sz w:val="24"/>
                <w:szCs w:val="24"/>
                <w:color w:val="auto"/>
              </w:rPr>
            </w:pPr>
          </w:p>
        </w:tc>
        <w:tc>
          <w:tcPr>
            <w:tcW w:w="572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55"/>
        </w:trPr>
        <w:tc>
          <w:tcPr>
            <w:tcW w:w="4520" w:type="dxa"/>
            <w:vAlign w:val="bottom"/>
            <w:gridSpan w:val="15"/>
            <w:shd w:val="clear" w:color="auto" w:fill="CCEEFF"/>
          </w:tcPr>
          <w:p>
            <w:pPr>
              <w:spacing w:after="0" w:line="136" w:lineRule="exact"/>
              <w:rPr>
                <w:sz w:val="20"/>
                <w:szCs w:val="20"/>
                <w:color w:val="auto"/>
              </w:rPr>
            </w:pPr>
            <w:r>
              <w:rPr>
                <w:rFonts w:ascii="Times New Roman" w:cs="Times New Roman" w:eastAsia="Times New Roman" w:hAnsi="Times New Roman"/>
                <w:sz w:val="15"/>
                <w:szCs w:val="15"/>
                <w:color w:val="0000EE"/>
              </w:rPr>
              <w:t>About This Prospectus</w:t>
            </w:r>
          </w:p>
        </w:tc>
        <w:tc>
          <w:tcPr>
            <w:tcW w:w="5720" w:type="dxa"/>
            <w:vAlign w:val="bottom"/>
            <w:shd w:val="clear" w:color="auto" w:fill="CCEEFF"/>
          </w:tcPr>
          <w:p>
            <w:pPr>
              <w:spacing w:after="0"/>
              <w:rPr>
                <w:sz w:val="13"/>
                <w:szCs w:val="13"/>
                <w:color w:val="auto"/>
              </w:rPr>
            </w:pPr>
          </w:p>
        </w:tc>
        <w:tc>
          <w:tcPr>
            <w:tcW w:w="10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ii</w:t>
            </w:r>
          </w:p>
        </w:tc>
      </w:tr>
      <w:tr>
        <w:trPr>
          <w:trHeight w:val="34"/>
        </w:trPr>
        <w:tc>
          <w:tcPr>
            <w:tcW w:w="5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80" w:type="dxa"/>
            <w:vAlign w:val="bottom"/>
            <w:tcBorders>
              <w:top w:val="single" w:sz="8" w:color="CCEEFF"/>
            </w:tcBorders>
            <w:shd w:val="clear" w:color="auto" w:fill="CCEEFF"/>
          </w:tcPr>
          <w:p>
            <w:pPr>
              <w:spacing w:after="0"/>
              <w:rPr>
                <w:sz w:val="2"/>
                <w:szCs w:val="2"/>
                <w:color w:val="auto"/>
              </w:rPr>
            </w:pPr>
          </w:p>
        </w:tc>
        <w:tc>
          <w:tcPr>
            <w:tcW w:w="572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r>
      <w:tr>
        <w:trPr>
          <w:trHeight w:val="175"/>
        </w:trPr>
        <w:tc>
          <w:tcPr>
            <w:tcW w:w="4520" w:type="dxa"/>
            <w:vAlign w:val="bottom"/>
            <w:tcBorders>
              <w:bottom w:val="single" w:sz="8" w:color="0000EE"/>
            </w:tcBorders>
            <w:gridSpan w:val="15"/>
          </w:tcPr>
          <w:p>
            <w:pPr>
              <w:spacing w:after="0" w:line="176" w:lineRule="exact"/>
              <w:rPr>
                <w:sz w:val="20"/>
                <w:szCs w:val="20"/>
                <w:color w:val="auto"/>
              </w:rPr>
            </w:pPr>
            <w:r>
              <w:rPr>
                <w:rFonts w:ascii="Times New Roman" w:cs="Times New Roman" w:eastAsia="Times New Roman" w:hAnsi="Times New Roman"/>
                <w:sz w:val="18"/>
                <w:szCs w:val="18"/>
                <w:color w:val="0000EE"/>
                <w:w w:val="99"/>
              </w:rPr>
              <w:t>Cautionary Statement Regarding Forward-Looking Statements</w:t>
            </w:r>
          </w:p>
        </w:tc>
        <w:tc>
          <w:tcPr>
            <w:tcW w:w="5720" w:type="dxa"/>
            <w:vAlign w:val="bottom"/>
          </w:tcPr>
          <w:p>
            <w:pPr>
              <w:spacing w:after="0"/>
              <w:rPr>
                <w:sz w:val="15"/>
                <w:szCs w:val="15"/>
                <w:color w:val="auto"/>
              </w:rPr>
            </w:pP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iii</w:t>
            </w:r>
          </w:p>
        </w:tc>
      </w:tr>
      <w:tr>
        <w:trPr>
          <w:trHeight w:val="21"/>
        </w:trPr>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54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Prospectus Summary</w:t>
            </w:r>
          </w:p>
        </w:tc>
        <w:tc>
          <w:tcPr>
            <w:tcW w:w="2980" w:type="dxa"/>
            <w:vAlign w:val="bottom"/>
            <w:tcBorders>
              <w:bottom w:val="single" w:sz="8" w:color="CCEEFF"/>
            </w:tcBorders>
            <w:gridSpan w:val="8"/>
            <w:shd w:val="clear" w:color="auto" w:fill="CCEEFF"/>
          </w:tcPr>
          <w:p>
            <w:pPr>
              <w:spacing w:after="0"/>
              <w:rPr>
                <w:sz w:val="17"/>
                <w:szCs w:val="17"/>
                <w:color w:val="auto"/>
              </w:rPr>
            </w:pPr>
          </w:p>
        </w:tc>
        <w:tc>
          <w:tcPr>
            <w:tcW w:w="6720" w:type="dxa"/>
            <w:vAlign w:val="bottom"/>
            <w:tcBorders>
              <w:bottom w:val="single" w:sz="8" w:color="CCEEFF"/>
            </w:tcBorders>
            <w:gridSpan w:val="2"/>
            <w:shd w:val="clear" w:color="auto" w:fill="CCEEFF"/>
          </w:tcPr>
          <w:p>
            <w:pPr>
              <w:jc w:val="center"/>
              <w:ind w:left="563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6"/>
        </w:trPr>
        <w:tc>
          <w:tcPr>
            <w:tcW w:w="452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720" w:type="dxa"/>
            <w:vAlign w:val="bottom"/>
            <w:gridSpan w:val="2"/>
          </w:tcPr>
          <w:p>
            <w:pPr>
              <w:jc w:val="center"/>
              <w:ind w:left="5630"/>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Use of Proceeds</w:t>
            </w:r>
          </w:p>
        </w:tc>
        <w:tc>
          <w:tcPr>
            <w:tcW w:w="3340" w:type="dxa"/>
            <w:vAlign w:val="bottom"/>
            <w:tcBorders>
              <w:bottom w:val="single" w:sz="8" w:color="CCEEFF"/>
            </w:tcBorders>
            <w:gridSpan w:val="11"/>
            <w:shd w:val="clear" w:color="auto" w:fill="CCEEFF"/>
          </w:tcPr>
          <w:p>
            <w:pPr>
              <w:spacing w:after="0"/>
              <w:rPr>
                <w:sz w:val="17"/>
                <w:szCs w:val="17"/>
                <w:color w:val="auto"/>
              </w:rPr>
            </w:pPr>
          </w:p>
        </w:tc>
        <w:tc>
          <w:tcPr>
            <w:tcW w:w="6720" w:type="dxa"/>
            <w:vAlign w:val="bottom"/>
            <w:tcBorders>
              <w:bottom w:val="single" w:sz="8" w:color="CCEEFF"/>
            </w:tcBorders>
            <w:gridSpan w:val="2"/>
            <w:shd w:val="clear" w:color="auto" w:fill="CCEEFF"/>
          </w:tcPr>
          <w:p>
            <w:pPr>
              <w:jc w:val="center"/>
              <w:ind w:left="5630"/>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175"/>
        </w:trPr>
        <w:tc>
          <w:tcPr>
            <w:tcW w:w="452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6720" w:type="dxa"/>
            <w:vAlign w:val="bottom"/>
            <w:gridSpan w:val="2"/>
          </w:tcPr>
          <w:p>
            <w:pPr>
              <w:jc w:val="center"/>
              <w:ind w:left="5630"/>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220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2320" w:type="dxa"/>
            <w:vAlign w:val="bottom"/>
            <w:tcBorders>
              <w:bottom w:val="single" w:sz="8" w:color="CCEEFF"/>
            </w:tcBorders>
            <w:gridSpan w:val="4"/>
            <w:shd w:val="clear" w:color="auto" w:fill="CCEEFF"/>
          </w:tcPr>
          <w:p>
            <w:pPr>
              <w:spacing w:after="0"/>
              <w:rPr>
                <w:sz w:val="17"/>
                <w:szCs w:val="17"/>
                <w:color w:val="auto"/>
              </w:rPr>
            </w:pPr>
          </w:p>
        </w:tc>
        <w:tc>
          <w:tcPr>
            <w:tcW w:w="6720" w:type="dxa"/>
            <w:vAlign w:val="bottom"/>
            <w:tcBorders>
              <w:bottom w:val="single" w:sz="8" w:color="CCEEFF"/>
            </w:tcBorders>
            <w:gridSpan w:val="2"/>
            <w:shd w:val="clear" w:color="auto" w:fill="CCEEFF"/>
          </w:tcPr>
          <w:p>
            <w:pPr>
              <w:jc w:val="center"/>
              <w:ind w:left="5650"/>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176"/>
        </w:trPr>
        <w:tc>
          <w:tcPr>
            <w:tcW w:w="452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Description of Warrants</w:t>
            </w:r>
          </w:p>
        </w:tc>
        <w:tc>
          <w:tcPr>
            <w:tcW w:w="6720" w:type="dxa"/>
            <w:vAlign w:val="bottom"/>
            <w:gridSpan w:val="2"/>
          </w:tcPr>
          <w:p>
            <w:pPr>
              <w:jc w:val="center"/>
              <w:ind w:left="5650"/>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252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Subscription Rights</w:t>
            </w:r>
          </w:p>
        </w:tc>
        <w:tc>
          <w:tcPr>
            <w:tcW w:w="2000" w:type="dxa"/>
            <w:vAlign w:val="bottom"/>
            <w:tcBorders>
              <w:bottom w:val="single" w:sz="8" w:color="CCEEFF"/>
            </w:tcBorders>
            <w:gridSpan w:val="3"/>
            <w:shd w:val="clear" w:color="auto" w:fill="CCEEFF"/>
          </w:tcPr>
          <w:p>
            <w:pPr>
              <w:spacing w:after="0"/>
              <w:rPr>
                <w:sz w:val="17"/>
                <w:szCs w:val="17"/>
                <w:color w:val="auto"/>
              </w:rPr>
            </w:pPr>
          </w:p>
        </w:tc>
        <w:tc>
          <w:tcPr>
            <w:tcW w:w="6720" w:type="dxa"/>
            <w:vAlign w:val="bottom"/>
            <w:tcBorders>
              <w:bottom w:val="single" w:sz="8" w:color="CCEEFF"/>
            </w:tcBorders>
            <w:gridSpan w:val="2"/>
            <w:shd w:val="clear" w:color="auto" w:fill="CCEEFF"/>
          </w:tcPr>
          <w:p>
            <w:pPr>
              <w:jc w:val="center"/>
              <w:ind w:left="5650"/>
              <w:spacing w:after="0" w:line="176" w:lineRule="exact"/>
              <w:rPr>
                <w:sz w:val="20"/>
                <w:szCs w:val="20"/>
                <w:color w:val="auto"/>
              </w:rPr>
            </w:pPr>
            <w:r>
              <w:rPr>
                <w:rFonts w:ascii="Times New Roman" w:cs="Times New Roman" w:eastAsia="Times New Roman" w:hAnsi="Times New Roman"/>
                <w:sz w:val="18"/>
                <w:szCs w:val="18"/>
                <w:color w:val="auto"/>
                <w:w w:val="99"/>
              </w:rPr>
              <w:t>21</w:t>
            </w:r>
          </w:p>
        </w:tc>
      </w:tr>
      <w:tr>
        <w:trPr>
          <w:trHeight w:val="176"/>
        </w:trPr>
        <w:tc>
          <w:tcPr>
            <w:tcW w:w="452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w:t>
            </w:r>
          </w:p>
        </w:tc>
        <w:tc>
          <w:tcPr>
            <w:tcW w:w="6720" w:type="dxa"/>
            <w:vAlign w:val="bottom"/>
            <w:gridSpan w:val="2"/>
          </w:tcPr>
          <w:p>
            <w:pPr>
              <w:jc w:val="center"/>
              <w:ind w:left="5650"/>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44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3080" w:type="dxa"/>
            <w:vAlign w:val="bottom"/>
            <w:tcBorders>
              <w:bottom w:val="single" w:sz="8" w:color="CCEEFF"/>
            </w:tcBorders>
            <w:gridSpan w:val="10"/>
            <w:shd w:val="clear" w:color="auto" w:fill="CCEEFF"/>
          </w:tcPr>
          <w:p>
            <w:pPr>
              <w:spacing w:after="0"/>
              <w:rPr>
                <w:sz w:val="17"/>
                <w:szCs w:val="17"/>
                <w:color w:val="auto"/>
              </w:rPr>
            </w:pPr>
          </w:p>
        </w:tc>
        <w:tc>
          <w:tcPr>
            <w:tcW w:w="6720" w:type="dxa"/>
            <w:vAlign w:val="bottom"/>
            <w:tcBorders>
              <w:bottom w:val="single" w:sz="8" w:color="CCEEFF"/>
            </w:tcBorders>
            <w:gridSpan w:val="2"/>
            <w:shd w:val="clear" w:color="auto" w:fill="CCEEFF"/>
          </w:tcPr>
          <w:p>
            <w:pPr>
              <w:jc w:val="center"/>
              <w:ind w:left="5650"/>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175"/>
        </w:trPr>
        <w:tc>
          <w:tcPr>
            <w:tcW w:w="452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6720" w:type="dxa"/>
            <w:vAlign w:val="bottom"/>
            <w:gridSpan w:val="2"/>
          </w:tcPr>
          <w:p>
            <w:pPr>
              <w:jc w:val="center"/>
              <w:ind w:left="5650"/>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56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Experts</w:t>
            </w:r>
          </w:p>
        </w:tc>
        <w:tc>
          <w:tcPr>
            <w:tcW w:w="3960" w:type="dxa"/>
            <w:vAlign w:val="bottom"/>
            <w:tcBorders>
              <w:bottom w:val="single" w:sz="8" w:color="CCEEFF"/>
            </w:tcBorders>
            <w:gridSpan w:val="14"/>
            <w:shd w:val="clear" w:color="auto" w:fill="CCEEFF"/>
          </w:tcPr>
          <w:p>
            <w:pPr>
              <w:spacing w:after="0"/>
              <w:rPr>
                <w:sz w:val="17"/>
                <w:szCs w:val="17"/>
                <w:color w:val="auto"/>
              </w:rPr>
            </w:pPr>
          </w:p>
        </w:tc>
        <w:tc>
          <w:tcPr>
            <w:tcW w:w="6720" w:type="dxa"/>
            <w:vAlign w:val="bottom"/>
            <w:tcBorders>
              <w:bottom w:val="single" w:sz="8" w:color="CCEEFF"/>
            </w:tcBorders>
            <w:gridSpan w:val="2"/>
            <w:shd w:val="clear" w:color="auto" w:fill="CCEEFF"/>
          </w:tcPr>
          <w:p>
            <w:pPr>
              <w:jc w:val="center"/>
              <w:ind w:left="5650"/>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176"/>
        </w:trPr>
        <w:tc>
          <w:tcPr>
            <w:tcW w:w="452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720" w:type="dxa"/>
            <w:vAlign w:val="bottom"/>
            <w:gridSpan w:val="2"/>
          </w:tcPr>
          <w:p>
            <w:pPr>
              <w:jc w:val="center"/>
              <w:ind w:left="5650"/>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452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Documents by Reference</w:t>
            </w:r>
          </w:p>
        </w:tc>
        <w:tc>
          <w:tcPr>
            <w:tcW w:w="6720" w:type="dxa"/>
            <w:vAlign w:val="bottom"/>
            <w:gridSpan w:val="2"/>
            <w:shd w:val="clear" w:color="auto" w:fill="CCEEFF"/>
          </w:tcPr>
          <w:p>
            <w:pPr>
              <w:jc w:val="center"/>
              <w:ind w:left="5650"/>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20"/>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57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 using a “shelf” registration process. Under this shelf process, we may, from time to time, sell any combination of the securities described in this prospectus in one or more offerings up to a total amount of $350,000,000.</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we may offer. Each time we sell securities, we will provide a prospectus supplement that will contain specific information about the terms of that offering. The prospectus supplement may also add to, update or change information contained in the prospectus and, accordingly, to the extent inconsistent, information in this prospectus is superseded by the information in the prospectus supplement.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prospectus supplement to be attached to the front of this prospectus may describe, as applicable: the terms of the securities offered; the public offering price; the price paid for the securities; net proceeds; and the other specific terms related to the offering of the securities.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You should only rely on the information contained or incorporated by reference in this prospectus and any prospectus supplement or issuer free writing prospectus relating to a particular offering. No person has been authorized to give any information or make any representations in connection with this offering other than those contained or incorporated by reference in this prospectus, any accompanying prospectus supplement and any related issuer free writing prospectus in connection with the offering described herein and therein, and, if given or made, such information or representations must not be relied upon as having been authorized by us. Neither this prospectus nor any prospectus supplement nor any related issuer free writing prospectus shall constitute an offer to sell or a solicitation of an offer to buy offered securities in any jurisdiction in which it is unlawful for such person to make such an offering or solicitation. This prospectus does not contain all of the information included in the registration statement. For a more complete understanding of the offering of the securities, you should refer to the registration statement, including its exhibits.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You should read the entire prospectus and any prospectus supplement and any related issuer free writing prospectus, as well as the documents incorporated by reference into this prospectus or any prospectus supplement or any related issuer free writing prospectus, before making an investment decision. Neither the delivery of this prospectus or any prospectus supplement or any issuer free writing prospectus nor any sale made hereunder shall under any circumstances imply that the information contained or incorporated by reference herein or in any prospectus supplement or issuer free writing prospectus is correct as of any date subsequent to the date hereof or of such prospectus supplement or issuer free writing prospectus, as applicable. You should assume that the information appearing in this prospectus, any prospectus supplement or any document incorporated by reference is accurate only as of the date of the applicable documents, regardless of the time of delivery of this prospectus or any sale of securities. Our business, financial condition, results of operations and prospects may have changed since that date.</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references in this prospectus to “KALA,” the “Company,” “we,” “us,” “our,” or similar terms refer to KALA BIO, Inc. and its subsidiaries taken as a whole, except where the context otherwise requires or as otherwise indicated.</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 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herein may contain or incorporate by reference forward-looking statements within the meaning of Section 27A of the Securities Act of 1933, as amended (the “Securities Act”), and Section 21E of the Securities Exchange Act of 1934, as amended (the “Exchange Act”). Such forward-looking statements are based upon management’s assumptions, expectations, projections, intentions and beliefs about future events. In some cases, predictive, future-tense or forward-looking words such as “intend,” “plan,” “predict,” “may,” “will,” “project,” “target,” “strategy,” “estimate,” “anticipate,” “believe,” “expect,” “continue,” “potential,” “opportunity,” “forecast,” “should” and similar expressions, whether in the negative or affirmative, that reflect our current views with respect to future events and operational, economic and financial performance are intended to identify such forward-looking statements, but are not the exclusive means of identifying such statements. Such forward-looking statements are only predictions, and actual results and the timing of certain events and circumstances may differ materially from those described by the forward-looking statements as a result of risks and uncertainties, including, without limitation:</w:t>
      </w:r>
    </w:p>
    <w:p>
      <w:pPr>
        <w:spacing w:after="0" w:line="188"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expectations regarding our pursuit of strategic options;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financing;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monetize our assets;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regain and maintain compliance with the Nasdaq listing standards;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remaining employees, consultants, advisors;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resume research and development activities for our MSC-S platform if we were to execute a strategic transaction or obtain significant additional funding, and our ability to develop and commercialize the Researgency agentic AI research platform;</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were to resume research and development activities, development efforts for KPI-012 and KPI-014 for potential ocular diseases;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additional products, product candidates or technologies with significant commercial potential that are consistent with our commercial objectives;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goals with respect to the AI platform business and the deployment of the Researgency agentic AI research platform, including the development of commercial arrangements with customers in the biotechnology and pharmaceutical industries;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were to resume research and development activities, the rate and degree of market acceptance and clinical utility of our product candidates and our estimates regarding the market opportunity for our product candidates, if approved;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fund our operating expenses, lease and capital expenditure requirements with our cash on hand;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timing of any future revenue, capital requirements and needs for additional financing;</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 w:name="page8"/>
    <w:bookmarkEnd w:id="7"/>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laws and regulations;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Additional factors that could cause actual results to differ materially from the results anticipated in these forward-looking statements are described in this prospectus, including under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w:t>
      </w:r>
      <w:r>
        <w:rPr>
          <w:rFonts w:ascii="Times New Roman" w:cs="Times New Roman" w:eastAsia="Times New Roman" w:hAnsi="Times New Roman"/>
          <w:sz w:val="18"/>
          <w:szCs w:val="18"/>
          <w:i w:val="1"/>
          <w:iCs w:val="1"/>
          <w:color w:val="auto"/>
        </w:rPr>
        <w:t>Part I, Item 1A. — Risk Factors</w:t>
      </w:r>
      <w:r>
        <w:rPr>
          <w:rFonts w:ascii="Times New Roman" w:cs="Times New Roman" w:eastAsia="Times New Roman" w:hAnsi="Times New Roman"/>
          <w:sz w:val="18"/>
          <w:szCs w:val="18"/>
          <w:color w:val="auto"/>
        </w:rPr>
        <w:t>” of the Company’s Annual Report on Form 10-K for the fiscal year ended December 31, 2025, filed on April 15, 2026 and the risk factors described under the caption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any applicable prospectus supplement. See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of Certain Information by Reference</w:t>
      </w:r>
      <w:r>
        <w:rPr>
          <w:rFonts w:ascii="Times New Roman" w:cs="Times New Roman" w:eastAsia="Times New Roman" w:hAnsi="Times New Roman"/>
          <w:sz w:val="18"/>
          <w:szCs w:val="18"/>
          <w:color w:val="auto"/>
        </w:rPr>
        <w:t>.” We advise you to carefully review the reports and documents we file from time to time with the SEC, particularly our annual reports on Form 10-K, our quarterly reports on Form 10-Q and our current reports on Form 8-K. The Company cautions readers that the forward-looking statements included in, or incorporated by reference into, this prospectus represent our beliefs, expectations, estimates and assumptions only as of the date hereof and are not intended to give any assurance as to future results. New factors emerge from time to time, and it is not possible for us to predict all of these factors. Further, we cannot assess the effect of each such factor on our business or the extent to which any factor, or combination of factors, may cause actual results to be materially different from those contained in any forward-looking statement.</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You should read this prospectus, the applicable prospectus supplement and any related free-writing prospectus and the documents incorporated by reference in this prospectus with the understanding that our actual future results, levels of activity, performance and events and circumstances may be materially different from what we expect. The forward-looking statements contained or incorporated by reference in this prospectus or any prospectus supplement are expressly qualified in their entirety by this cautionary statement. We do not undertake any obligation to publicly update any forward-looking statement to reflect events or circumstances after the date on which any such statement is made or to reflect the occurrence of unanticipated events.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498475</wp:posOffset>
            </wp:positionV>
            <wp:extent cx="7127875" cy="67246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7875" cy="6724650"/>
                    </a:xfrm>
                    <a:prstGeom prst="rect">
                      <a:avLst/>
                    </a:prstGeom>
                    <a:noFill/>
                  </pic:spPr>
                </pic:pic>
              </a:graphicData>
            </a:graphic>
          </wp:anchor>
        </w:drawing>
        <w:t>PROSPECTUS SUMMARY</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provides an overview of selected information contained elsewhere or incorporated by reference in this prospectus and does not contain all of the information you should consider before investing in our securities. You should carefully read the prospectus, the information incorporated by reference and the registration statement of which this prospectus is a part in their entirety before investing in our securities, including the information discussed under “Risk Factors” in this prospectus and the documents incorporated by reference and our financial statements and notes thereto that are incorporated by reference in this prospectus. Some of the statements in this prospectus and the documents incorporated by reference herein constitute forward-looking statements that involve risks and uncertainties. See information set forth under the section “Cautionary Statement Regarding Forward-Looking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 biopharmaceutical company in transition, evaluating the development of a dedicated, on-premises artificial intelligence (AI) infrastructure platform for the biotechnology industry. Our current focus is leveraging our mesenchymal stem cell secretome (“MSC-S”) platform to test development of a scalable AI platform-as-a-service business to deploy secure, purpose-built AI systems directly within biotech and pharmaceutical client environments. We have historically been engaged in the research, development and commercialization of innovative therapies for rare and severe diseases of the front and back of the eye. Our lead product candidate was KPI-012, MSC-S, which we acquired from Combangio, Inc. (“Combangio”) on November 15, 2021. KPI-012 was in clinical development for the treatment of persistent corneal epithelial defects (“PCED”), a rare disease of impaired corneal healing. Based on the results of a Phase 1b clinical safety and efficacy trial of KPI-012 in patients with PCED, we submitted an investigational new drug application to the U.S. Food and Drug Administration (“FDA”), which was accepted in December 2022. In February 2023, we dosed our first patient in the United States in our CHASE (Corneal Healing After SEcretome therapy) Phase 2b clinical trial of KPI-012 for PCED (the “CHASE trial”). By September 2025, the CHASE trial did not meet its primary endpoints, and we determined to discontinue our development of KPI-012 and the MSC-S platform. We have since expanded upon our business to evaluate strategic alternatives for our legacy MSC-S assets and capitalize on the substantial intellectual property (IP), proprietary biological datasets, and research experience generated during the clinical trials by starting development of an AI platform.</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3, 2026, we entered into an exclusive license for the Researgency AI research platform (“Researgency”) from Younet AI (“Younet”), through which we intend to test and assess the feasibility of offering a dedicated AI infrastructure partner for the biotechnology industry. Our goal is to enable companies of all sizes to unlock the value of their proprietary biological data without surrendering control of it through the development of a specialized agentic AI research platform.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Suspension of Clinical Trial</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28, 2025, the board of directors of the Company (the “Board”) determined to cease development of KPI-012 and the MSC-S platform because the CHASE trial did not meet the primary endpoint of complete healing of PCED as measured by corneal fluorescein staining. The CHASE trial also failed to achieve statistical significance for key secondary efficacy endpoints, with no meaningful difference observed between either KPI-012 treatment arm and the placebo arm. In connection with such decision, we implemented a reduction in our workforce of approximately 19 employees, or approximately 51%.</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Younet AI Licensing Agreement and the Researgency Platform</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Following the decision to suspend the CHASE trial, and as part of our strategic transition, on March 3, 2026, we entered into an exclusive licensing agreement with Younet (the “Younet License Agreement”), pursuant to which we secured worldwide exclusive rights to Researgency, specifically adapted for biotechnology applications. Under our license for Researgency, we plan to evaluate whether the platform can be configured to support biotechnology research workflows and data-governance requirements. Specific technical configurations and commercialization plans, including pricing and service levels, remain under development and subject to customer requirements and applicable laws and guidance.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26035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1089" w:right="459" w:bottom="1440" w:gutter="0" w:footer="0" w:header="0"/>
        </w:sectPr>
      </w:pPr>
    </w:p>
    <w:bookmarkStart w:id="9" w:name="page10"/>
    <w:bookmarkEnd w:id="9"/>
    <w:p>
      <w:pPr>
        <w:jc w:val="both"/>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498475</wp:posOffset>
            </wp:positionV>
            <wp:extent cx="7127875" cy="65874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7875" cy="6587490"/>
                    </a:xfrm>
                    <a:prstGeom prst="rect">
                      <a:avLst/>
                    </a:prstGeom>
                    <a:noFill/>
                  </pic:spPr>
                </pic:pic>
              </a:graphicData>
            </a:graphic>
          </wp:anchor>
        </w:drawing>
        <w:t>Our strategy is to pursue two complementary business lines: (i) the monetization of a proprietary biologics asset portfolio centered on the Company’s MSC-S platform and its associated IP, and (ii) the development of the Researgency business, through which the Company intends to deploy Researgency to provide a dedicated, on-premises AI infrastructure solution for biotechnology and pharmaceutical companies. Key elements of our current strategy include:</w:t>
      </w:r>
    </w:p>
    <w:p>
      <w:pPr>
        <w:spacing w:after="0" w:line="180" w:lineRule="exact"/>
        <w:rPr>
          <w:sz w:val="20"/>
          <w:szCs w:val="20"/>
          <w:color w:val="auto"/>
        </w:rPr>
      </w:pPr>
    </w:p>
    <w:p>
      <w:pPr>
        <w:jc w:val="both"/>
        <w:ind w:left="640" w:hanging="320"/>
        <w:spacing w:after="0" w:line="258"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Preserve and seek to monetize our MSC-S biologics asset portfolio. We are preserving our MSC-S platform intellectual property, including the KPI-012 and KPI-014 product candidates and related patents and know-how, and are evaluating strategic options with respect to those assets, including licensing, sale, out-licensing, collaboration, and other arrangements with one or more third parties. We may evaluate preclinical activities in the future if we secure additional funding and identify suitable development partners. We do not have any ongoing clinical trials as of the date of this filing.</w:t>
      </w:r>
    </w:p>
    <w:p>
      <w:pPr>
        <w:spacing w:after="0" w:line="183" w:lineRule="exact"/>
        <w:rPr>
          <w:rFonts w:ascii="Times New Roman" w:cs="Times New Roman" w:eastAsia="Times New Roman" w:hAnsi="Times New Roman"/>
          <w:sz w:val="18"/>
          <w:szCs w:val="18"/>
          <w:color w:val="auto"/>
        </w:rPr>
      </w:pPr>
    </w:p>
    <w:p>
      <w:pPr>
        <w:jc w:val="both"/>
        <w:ind w:left="640" w:hanging="320"/>
        <w:spacing w:after="0" w:line="255"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aim to deploy Researgency as a dedicated biotechnology industry solution. Through our exclusive license for Researgency, we intend to serve as a dedicated AI infrastructure partner for biotechnology and pharmaceutical companies. Researgency is designed for on-premises deployment within client environments, enabling customers to leverage advanced AI capabilities while maintaining complete control over their proprietary biological data and intellectual property. We also intend to offer the platform on a platform-as-a-service basis, together with implementation support, maintenance subscriptions, and data analytics services, targeting mid-size biotechnology companies, contract research organizations, and pharmaceutical companies as our primary customer base. Any commercialization, pricing and feature set remain subject to further development, validation, applicable regulatory compliance and customer demand.</w:t>
      </w:r>
    </w:p>
    <w:p>
      <w:pPr>
        <w:spacing w:after="0" w:line="188" w:lineRule="exact"/>
        <w:rPr>
          <w:rFonts w:ascii="Times New Roman" w:cs="Times New Roman" w:eastAsia="Times New Roman" w:hAnsi="Times New Roman"/>
          <w:sz w:val="18"/>
          <w:szCs w:val="18"/>
          <w:color w:val="auto"/>
        </w:rPr>
      </w:pPr>
    </w:p>
    <w:p>
      <w:pPr>
        <w:jc w:val="both"/>
        <w:ind w:left="640" w:hanging="320"/>
        <w:spacing w:after="0" w:line="258"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Researgency using our proprietary KPI-012 research dataset. As an initial step toward potential commercialization of Researgency, we intend to use our accumulated KPI-012 clinical development dataset, which includes data from 79 patients across 37 clinical trial sites together with related regulatory submission materials, as a proof-of-concept validation environment. This self-validation approach is designed to generate reference case studies and to refine platform capabilities using real-world biotechnology research data prior to commercial deployment with external customers. There can be no assurance that these efforts will identify commercially actionable opportunities.</w:t>
      </w:r>
    </w:p>
    <w:p>
      <w:pPr>
        <w:spacing w:after="0" w:line="183" w:lineRule="exact"/>
        <w:rPr>
          <w:rFonts w:ascii="Times New Roman" w:cs="Times New Roman" w:eastAsia="Times New Roman" w:hAnsi="Times New Roman"/>
          <w:sz w:val="18"/>
          <w:szCs w:val="18"/>
          <w:color w:val="auto"/>
        </w:rPr>
      </w:pPr>
    </w:p>
    <w:p>
      <w:pPr>
        <w:ind w:left="640" w:hanging="320"/>
        <w:spacing w:after="0" w:line="282"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strategic arrangements across both business lines. We plan to pursue value-driven strategic transactions across both our biologics portfolio and our Researgency business, which may include licensing.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Reverse Stock Split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7, 2026, we filed a Certificate of Amendment (the “Certificate of Amendment”) to the Company’s Restated Certificate of Incorporation (as amended, the “Certificate of Incorporation”) with the Secretary of State of Delaware to effect a 1-for-50 reverse stock split of the shares of our common stock, either issued and outstanding or held by the Company as treasury stock (the “Reverse Stock Split”), effective as of 4:05 p.m. (Delaware time) on May 8, 2026 (the “Effective Time”). As previously reported, the Company held a special meeting of stockholders on January 30, 2026 (the “Special Meeting”), at which Special Meeting the Company’s stockholders approved the Certificate of Amendment to effect a reverse stock split of our common stock at a ratio in the range of 1-for-2 to 1-for-100, with such ratio to be determined by our Board of Directors (the “Board”) and included in a public announcement. The Board determined to effect the Reverse Stock Split at a ratio of 1-for-50 and approved the corresponding final form of the Certificate of Amendment.</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the Reverse Stock Split, every 50 shares of issued and outstanding common stock will be automatically combined into one issued and outstanding share of common stock, without any change in the par value per share. No fractional shares will be issued as a result of the Reverse Stock Split. Stockholders that would hold fractional shares as a result of the Reverse Stock Split are entitled to receive a cash payment in lieu of said fractional shares based on the closing price on the Nasdaq Capital Market on May 7, 2026. The Reverse Stock Split will reduce the number of shares of Common Stock outstanding from 929,491,578 shares to approximately 18,589,832 shares, subject to adjustment for the rounding up of fractional shares. The number of authorized shares of Common Stock under the Certificate of Incorporation will remain unchanged at 1,500,000,000 shares.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26035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1093" w:right="459" w:bottom="1440" w:gutter="0" w:footer="0" w:header="0"/>
        </w:sectPr>
      </w:pPr>
    </w:p>
    <w:bookmarkStart w:id="10" w:name="page11"/>
    <w:bookmarkEnd w:id="10"/>
    <w:p>
      <w:pPr>
        <w:jc w:val="both"/>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498475</wp:posOffset>
            </wp:positionV>
            <wp:extent cx="7127875" cy="56273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7875" cy="5627370"/>
                    </a:xfrm>
                    <a:prstGeom prst="rect">
                      <a:avLst/>
                    </a:prstGeom>
                    <a:noFill/>
                  </pic:spPr>
                </pic:pic>
              </a:graphicData>
            </a:graphic>
          </wp:anchor>
        </w:drawing>
        <w:t>The Common Stock will begin trading on a Reverse Stock Split-adjusted basis on the Nasdaq Capital Market on May 11, 2026. The trading symbol for the Common Stock will remain “KALA.” The new CUSIP number for the Common Stock following the Reverse Stock Split is 483119301.</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otherwise indicated, all information in this prospectus relating to our common stock, including share counts, per share amounts, exercise prices and share reserves, is presented on a pre–Reverse Stock Split basis and has not been adjusted to reflect the Reverse Stock Split. Subsequent SEC filings after the Effective Time may reflect post–Reverse Stock Split amounts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 smaller reporting company as defined in the Exchange Act. We may take advantage of certain of the scaled disclosures available to smaller reporting companies and will be able to take advantage of these scaled disclosures for so long as (i) the market value of our voting and non-voting common stock held by non-affiliates is less than $250 million measured on the last business day of our second fiscal quarter or (ii) our annual revenue is less than $100 million during the most recently completed fiscal year and the market value of our voting and non-voting common stock held by non-affiliates is less than $700 million measured on the last business day of our second fiscal quarter. Specifically, as a smaller reporting company, we may choose to present only the two most recent fiscal years of audited financial statements in our Annual Report on Form 10-K and have reduced disclosure obligations regarding executive compensation and, if we are a smaller reporting company with less than $100 million in annual revenue, we would not be required to obtain an attestation report on internal control over financial reporting issued by our independent registered public accounting firm.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were incorporated under the laws of the State of Delaware in July 2009. On August 2, 2023, we changed our name from Kala Pharmaceuticals, Inc. to KALA BIO, Inc. Our principal executive offices are located at 1167 Massachusetts Avenue, Arlington, MA 02476, and our telephone number is (781) 996-5252. Our website address is www.kalarx.com. Information contained on, or that can be accessed through, our website is not and shall not be deemed to be a part of this prospectus or incorporated by reference hereto. Through our website, we will make available, free of charge, our Annual Report on Form 10-K, Quarterly Reports on Form 10-Q, Current Reports on Form 8-K and any amendments to these reports, as soon as reasonably practicable after such material is electronically filed with, or furnished to, the SEC.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Securities We May Offer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offer up to $350,000,000 of common stock, preferred stock, various series of debt securities, warrants, units and/or subscription rights in one or more offerings and in any combination. This prospectus provides you with a general description of the securities we may offer. A prospectus supplement, which we will provide each time we offer securities, will describe the specific amounts, prices and terms of these securities.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issue shares of our common stock from time to time. Holders of our common stock are entitled to receive ratably dividends as may be declared by the Board out of funds legally available for that purpose. We have never paid cash dividends on our common stock and do not anticipate paying any cash dividends in the foreseeable future but intend to retain our capital resources for reinvestment in our business.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26035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1093" w:right="459" w:bottom="1440" w:gutter="0" w:footer="0" w:header="0"/>
        </w:sectPr>
      </w:pPr>
    </w:p>
    <w:bookmarkStart w:id="11" w:name="page12"/>
    <w:bookmarkEnd w:id="11"/>
    <w:p>
      <w:pPr>
        <w:jc w:val="both"/>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498475</wp:posOffset>
            </wp:positionV>
            <wp:extent cx="7127875" cy="56273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7875" cy="5627370"/>
                    </a:xfrm>
                    <a:prstGeom prst="rect">
                      <a:avLst/>
                    </a:prstGeom>
                    <a:noFill/>
                  </pic:spPr>
                </pic:pic>
              </a:graphicData>
            </a:graphic>
          </wp:anchor>
        </w:drawing>
        <w:t>Each share of common stock entitles the holder to one vote, either in person or by proxy, at meetings of stockholders. The holders are not permitted to vote their shares cumulatively. Each election of directors by our stockholders will be determined by a plurality of the votes cast by the stockholders entitled to vote on the election. Other than the election of directors, all matters submitted to a vote of stockholders require the affirmative vote of a majority of the votes cast by the stockholders at the meeting and entitled to vote on the subject matter, voting affirmatively or negatively (excluding abstentions and broker non-votes) to authorize, affirm, ratify or consent to such act or action, except as otherwise provided by our Certificate of Incorporation, our Third Amended and Restated By-Laws (the “Bylaws”), the rules or regulations of any stock exchange applicable to us, applicable law or pursuant to any regulation applicable to us or our securities.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Holders of our common stock have no preemptive rights or other subscription rights, conversion rights, redemption or sinking fund provisions. Subject to the rights of the holders of our preferred stock, upon our liquidation, dissolution or winding up, the holders of our common stock will be entitled to share ratably in the net assets legally available for distribution to stockholders after the payment of all of our debts and other liabilities. The rights, preferences and privileges of holders of our common stock are subject to, and may be adversely affected by, the rights of the holders of any series of preferred stock, which may be designated solely by action of the Board and issued in the future.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issue shares of our preferred stock from time to time, in one or more series. The Board will determine the rights, preferences, privileges and restrictions of the preferred stock, including dividend rights, conversion rights, voting rights, terms of redemption, liquidation preferences, sinking fund terms and the number of shares constituting any series or the designation of such series, without any further vote or action by stockholders. Convertible preferred stock will be convertible into our common stock or exchangeable for our other securities. Conversion may be mandatory, at the option of the holder, or both and would be at prescribed conversion rates.If we sell any series of preferred stock under this prospectus and applicable prospectus supplements, we will fix the rights, preferences, privileges and restrictions of the preferred stock of such series in the certificate of designation relating to that series. We will file as an exhibit to the registration statement of which this prospectus is a part, or will incorporate by reference from reports that we file with the SEC, the form of any certificate of designation that describes the terms of the series of preferred stock we are offering before the issuance of the related series of preferred stock. We urge you to read the applicable prospectus supplement related to the series of preferred stock being offered, as well as the complete certificate of designation that contains the terms of the applicable series of preferred stock.</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description of the Series AA Preferred Stock, see “Description of Capital Stock” on page 8 of this prospectus.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Securities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sell from time to time, in one or more offerings under this prospectus, debt securities, which may be senior or subordinated. We will issue any such senior debt securities under a senior indenture that we will enter into with a trustee to be named in the senior indenture. We will issue any such subordinated debt securities under a subordinated indenture, which we will enter into with a trustee to be named in the subordinated indenture. We have filed forms of these documents as exhibits to the registration statement, of which this prospectus is a part. We use the term “indentures” to refer to either the senior indenture or the subordinated indenture, as applicable. The indentures will be qualified under the Trust Indenture Act of 1939, as in effect on the date of the indenture. We use the term “debenture trustee” to refer to either the trustee under the senior indenture or the trustee under the subordinated indenture, as applicable.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26035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1093"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206375</wp:posOffset>
            </wp:positionH>
            <wp:positionV relativeFrom="page">
              <wp:posOffset>498475</wp:posOffset>
            </wp:positionV>
            <wp:extent cx="7127875" cy="46672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7875" cy="4667250"/>
                    </a:xfrm>
                    <a:prstGeom prst="rect">
                      <a:avLst/>
                    </a:prstGeom>
                    <a:noFill/>
                  </pic:spPr>
                </pic:pic>
              </a:graphicData>
            </a:graphic>
          </wp:anchor>
        </w:drawing>
        <w:t>Warrants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issue warrants for the purchase of common stock or preferred stock in one or more series. We may issue warrants independently or together with common stock or preferred stock, and the warrants may be attached to or separate from these securities. We will evidence each series of warrants by warrant certificates that we will issue under a separate agreement. We may enter into warrant agreements with a bank or trust company that we select to be our warrant agent. We will indicate the name and address of the warrant agent in the applicable prospectus supplement relating to a particular series of warrants.</w:t>
      </w:r>
    </w:p>
    <w:p>
      <w:pPr>
        <w:spacing w:after="0" w:line="18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In this prospectus, we have summarized certain general features of the warrants. We urge you, however, to read the applicable prospectus supplement related to the particular series of warrants being offered, as well as the warrant agreements and warrant certificates that contain the terms of the warrants. We will file as exhibits to the registration statement of which this prospectus is a part, or will incorporate by reference from reports that we file with the SEC, the form of warrant agreement or warrant certificate containing the terms of the warrants we are offering before the issuance of the warrants.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 Rights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issue subscription rights to purchase shares of our common stock or other securities. These subscription rights may be issued independently or together with any other security offered hereby and may or may not be transferable by the stockholder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 We will file as exhibits to the registration statement of which this prospectus is a part, or will incorporate by reference reports that we file with the SEC, the form of such agreement and any supplemental agreements that describe the terms of the subscription rights we are offering before the issuance of such subscription rights.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issue units consisting of common stock, preferred stock, debt securities, and/or warrants for the purchase of common stock or preferred stock in one or more series. In this prospectus, we have summarized certain general features of the units. We urge you, however, to read the applicable prospectus supplement related to the series of units being offered, as well as the unit agreements that contain the terms of the units. We will file as exhibits to the registration statement of which this prospectus is a part, or will incorporate by reference reports that we file with the SEC, the form of unit agreement and any supplemental agreements that describe the terms of the series of units we are offering before the issuance of the related series of units.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26035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1091" w:right="45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An investment in our securities involves a high degree of risk. Before deciding whether to invest in our securities, you should consider carefully the specific factors discussed under the heading “Risk Factors” in the applicable prospectus supplement, together with all of the other information contained or incorporated by reference in the prospectus supplement or appearing or incorporated by reference in this prospectus. You should also consider the risks, uncertainties and assumptions discussed under Part I, Item 1A, “Risk Factors,” in our most recent Annual Report on Form 10-K or any updates in our Quarterly Reports on Form 10-Q, which are incorporated herein by reference, as updated or superseded by the risks and uncertainties described under similar headings in the other documents that are filed after the date hereof and incorporated by reference into this prospectus and any prospectus supplement related to a particular offering. The risks and uncertainties we have described are not the only ones we face. Additional risks and uncertainties not presently known to us or that we currently deem immaterial may also affect our operations. Past financial performance may not be a reliable indicator of future performance, and historical trends should not be used to anticipate results or trends in future periods. If any of these risks actually occurs, our business, business prospects, financial condition or results of operations could be seriously harmed. This could cause the trading price of our common stock to decline, resulting in a loss of all or part of your investment. Please also read carefully the section above entitled “Cautionary Statement Regarding Forward-Looking Statements.”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cannot assure you that we will receive any proceeds in connection with securities which may be offered pursuant to this prospectus. Unless otherwise indicated in the applicable prospectus supplement, we intend to use any net proceeds from the sale of securities under this prospectus for general corporate purposes, including, but not limited to, product development and manufacturing, sales and marketing and working capital and other general corporate purposes. We have not determined the amounts we plan to spend on any of the areas listed above or the timing of these expenditures. As a result, our management will have broad discretion over the allocation of net proceeds, if any, we receive in connection with securities offered pursuant to this prospectus for any purpose. We may initially invest the net proceeds in short-term, investment-grade, interest-bearing securities or apply them to the reduction of short-term indebtedness.</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description of common stock and preferred stock summarizes the material terms and provisions of the common stock and preferred stock that we may offer under this prospectus, but is not complete. For the complete terms of our common stock and preferred stock, please refer to our Certificate of Incorporation and Bylaws and any certificates of designation for our preferred stock. While the terms we have summarized below will apply generally to any future common stock or preferred stock that we may offer, we will describe the specific terms of any series of preferred stock in more detail in the applicable prospectus supplement. If we so indicate in a prospectus supplement, the terms of any preferred stock we offer under that prospectus supplement may differ from the terms we describe below.</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authorize us to issue 1,500,000,000 shares of common stock, $0.001 par value per share, and 5,000,000 shares of preferred stock, par value $0.001 per share, which may be issued from time to time in one or more series, each of which will have such distinctive designation or title as shall be determined by the Board prior to the issuance of any shares thereof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Holders of our common stock are entitled to one vote for each share held on all matters submitted to a vote of stockholders and do not have cumulative voting rights. Each election of directors by our stockholders will be determined by a plurality of the votes cast by the stockholders entitled to vote on the election.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Holders of common stock are entitled to receive proportionately any dividends as may be declared by the Board, subject to any preferential dividend rights of outstanding preferred stock.</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event of the Company’s liquidation or dissolution, the holders of our common stock rank junior to holders of our Series AA Preferred Stock, and are entitled to receive proportionately all assets available for distribution to stockholders after the payment of all debts and other liabilities and following any distributions to holders of our Series AA Preferred Stock. Holders of our common stock have no preemptive, subscription, redemption or conversion rights. No sinking fund provisions are applicable to our common stock. The rights, preferences and privileges of holders of our common stock are subject to and may be adversely affected by the rights of the holders of shares of any series of our preferred stock that we may designate and issue in the future. All outstanding shares of our common stock are validly authorized and issued, fully paid and nonassessable.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is Equiniti Trust Company, LLC. The transfer agent’s address is 28 Liberty Street, Floor 53, New York, NY 10005. Our common stock is listed on Nasdaq under the symbol “KALA.”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is authorized to issue 5,000,000 shares of preferred stock without further action by the holders of common stock. The shares of preferred stock may be issued from time to time in one or more series, each of which will have such distinctive designation or title as shall be determined by the Board prior to the issuance of any shares thereof.</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is authorized, subject to limitations prescribed by law, to fix by resolution or resolutions the designations, powers, preferences, and rights and the qualifications, limitations, or restrictions thereof, of each such series of preferred stock, including without limitation, authority to fix by resolution or resolutions the dividend rights, dividend rate, conversion rights, voting rights, rights and terms of redemption (including sinking fund provisions), redemption price or prices, and liquidation preferences of any wholly unissued series of preferred stock, and the number of shares constituting such series and the designation thereof, or any of the foregoing.</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color w:val="auto"/>
        </w:rPr>
        <w:t>Series AA Preferred Stock</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designated 900,000 shares of preferred stock as Series AA Convertible Non-Redeemable Preferred Stock, par value $0.001 (the “Series AA Preferred Stock”). The following are the principal terms of the Series AA Preferred Stock:</w:t>
      </w:r>
    </w:p>
    <w:p>
      <w:pPr>
        <w:spacing w:after="0" w:line="1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If the Board declares a dividend or other distribution on the Company’s common stock (the “Common Stock”), payable in cash, in kind, or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securities or property (other than dividends payable in shares of Common Stock), holders of the Series AA Preferred Stock are entitled to receive “Participating Dividends” in an amount equal to the dividends that would have been payable on the number of shares of Common Stock into which such holder’s Series AA Preferred Stock could be converted as of the applicable record date (or, if no record date is established, as of the date of such dividend), determined without regard to any restrictions on conversion. Participating Dividends are payable at the same time as dividends on the Common Stock are paid.</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The Series AA Preferred Stock has no voting rights, except as required by law (including without limitation, the DGCL). However, so long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any shares of Series AA Preferred Stock are outstanding, the Company may not take certain actions without the approval of the holders of a majority of the then-outstanding Series AA Preferred Stock (the “Requisite Holders”), including: (i) adverse amendments to the Certificate of Designations, (ii) certain adverse amendments to the Certificate of Incorporation or Bylaws (or filing of a new preferred certificate of designations) that adversely affects the Series</w:t>
      </w:r>
    </w:p>
    <w:p>
      <w:pPr>
        <w:spacing w:after="0" w:line="1" w:lineRule="exact"/>
        <w:rPr>
          <w:sz w:val="20"/>
          <w:szCs w:val="20"/>
          <w:color w:val="auto"/>
        </w:rPr>
      </w:pPr>
    </w:p>
    <w:p>
      <w:pPr>
        <w:ind w:firstLine="8"/>
        <w:spacing w:after="0" w:line="260" w:lineRule="auto"/>
        <w:tabs>
          <w:tab w:leader="none" w:pos="30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 (iii) increasing or decreasing (other than by conversion) the authorized number of shares of Series AA Preferred Stock, or (iv) entering into an agreement to do any of the foregoing.</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the extent that under the DGCL the vote of holders of Series AA Preferred Stock, voting separately as a class or series as applicable, is required to authorize a given action of the Company, the affirmative vote or consent of the Requisite Holders of Series AA Preferred Stock, represented at a duly held meeting at which a quorum is present or by written consent of the Required Holders, voting together in the aggregate and not in separate series (in each instance, except as otherwise may be required under the DGCL), shall constitute the approval of such action by both the class or the series, as applicable.</w:t>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Liquidation</w:t>
      </w:r>
      <w:r>
        <w:rPr>
          <w:rFonts w:ascii="Times New Roman" w:cs="Times New Roman" w:eastAsia="Times New Roman" w:hAnsi="Times New Roman"/>
          <w:sz w:val="18"/>
          <w:szCs w:val="18"/>
          <w:color w:val="auto"/>
        </w:rPr>
        <w:t>. The Series AA Preferred Stock ranks (i) senior to the Common Stock and any “Junior Securities” (as defined in the Certificate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Designations), (ii) on parity with any “Parity Securities” (as defined in the Certificate of Designations) and (iii) junior to any “Senior Securities (as defined in the Certificate of Designations”). Subject to the prior and superior rights of the holders of any Senior Securities, upon a dissolution, each holder of Series</w:t>
      </w:r>
    </w:p>
    <w:p>
      <w:pPr>
        <w:spacing w:after="0" w:line="1" w:lineRule="exact"/>
        <w:rPr>
          <w:sz w:val="20"/>
          <w:szCs w:val="20"/>
          <w:color w:val="auto"/>
        </w:rPr>
      </w:pPr>
    </w:p>
    <w:p>
      <w:pPr>
        <w:jc w:val="both"/>
        <w:ind w:firstLine="8"/>
        <w:spacing w:after="0" w:line="252" w:lineRule="auto"/>
        <w:tabs>
          <w:tab w:leader="none" w:pos="31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 is entitled to receive, prior and in preference to any distributions to holders of Common Stock. Upon any liquidation, dissolution or winding-up of the Company, whether voluntary or involuntary, each holder of the Series AA Preferred Stock shall be entitled to receive out of the assets, whether capital or surplus, of the Company an amount per share of Series AA Preferred Stock equal to the greater of (A) the stated value of such share of Series AA Preferred Stock (plus any dividends declared but unpaid on such share of Series AA Preferred Stock) on the date of such payment and (B) the amount per share such holder would receive if such holder converted such Series AA Preferred Stock into common stock immediately prior to the date of such payment.</w:t>
      </w:r>
    </w:p>
    <w:p>
      <w:pPr>
        <w:spacing w:after="0" w:line="18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Conversion</w:t>
      </w:r>
      <w:r>
        <w:rPr>
          <w:rFonts w:ascii="Times New Roman" w:cs="Times New Roman" w:eastAsia="Times New Roman" w:hAnsi="Times New Roman"/>
          <w:sz w:val="18"/>
          <w:szCs w:val="18"/>
          <w:color w:val="auto"/>
        </w:rPr>
        <w:t>. The Series AA Preferred Stock is convertible into shares of common stock at the election of the holder at any time at an initial conversion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of $$0.03636 (the “Series AA Conversion Price”). The Series AA Conversion Price is subject to customary adjustments for stock dividends, stock splits, reclassifications and the like. Each share of Series AA Preferred Stock is initially convertible into 55 shares of Common Stock.</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Anti-Takeover Effects of Certain Provisions of Delaware Law, Our Certificate of Incorporation and Bylaws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existence of authorized but unissued shares of preferred stock may enable the Board to render more difficult or to discourage an attempt to gain control of the Company by means of a merger, tender offer, proxy contest or otherwise. For example, if in the due exercise of its fiduciary obligations, the Board were to determine that a takeover proposal is not in the best interests of the Company or stockholders, the Board could cause shares of preferred stock to be issued without stockholder approval in one or more private offerings or other transactions that might dilute the voting or other rights of the proposed acquirer or insurgent stockholder or stockholder group. In this regard, the Certificate of Incorporation grants the Board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the Company.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Action; Special Meeting of Stockholders.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Certificate of Incorporation provides that stockholders of the Corporation may not take any action by written consent in lieu of a meeting. The Bylaws similarly provide that, except as otherwise provided by the Certificate of Incorporation, stockholders may not take any action by consent in lieu of a meeting of stockholders. The Certificate of Incorporation and Bylaws further provide that special meetings of stockholders for any purpose or purposes may be called at any time by only the Board, the Chairman of the Board or the Chief Executive Officer, and may not be called by any other persons.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Section 203 of the Delaware General Corporation Law, which relate to business combinations with interested stockholders, applies to the Company. Subject to certain exceptions, Section 203 prevents a publicly held Delaware corporation from engaging in a “business combination” with any “interested stockholder” for three years following the date that such person became an interested stockholder, unless either the interested stockholder attained such status with the approval of the Board, the business combination is approved by the Board and stockholders in a prescribed manner or the interested stockholder acquired at least 85% of the Company’s outstanding voting stock in the transaction in which such person became an interested stockholder. A “business combination” includes, among other things, a merger or consolidation involving the Company and the “interested stockholder” and the sale of more than 10% of the Company’s assets. In general, an “interested stockholder” is any entity or person beneficially owning 15% or more of the Company’s outstanding voting stock and any entity or person affiliated with or controlling or controlled by such entity or person.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Advance Notice Requirements for Stockholder Proposals and Director Nominations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Bylaws provide that stockholders seeking to bring business before an annual meeting of stockholders, or to nominate candidates for election as directors at an annual meeting of stockholders, must meet specified procedural requirements. These provisions may preclude stockholders from bringing matters before an annual meeting of stockholders or from making nominations for directors at an annual or special meeting of stockholders.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t>Exclusive Forum Charter Provision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Certificate of Incorporation provides that, unless the Company consents in writing to the selection of an alternative forum, the Court of Chancery of the State of Delaware shall, to the fullest extent permitted by law, be the sole and exclusive forum for: (i) any derivative action or proceeding brought on behalf of the Company, (ii) any action asserting a claim of breach of a fiduciary duty owed by any director, officer, other employee or stockholder of the Company to the Company or its stockholders, (iii) any action asserting a claim arising pursuant to any provision of the DGCL or as to which the DGCL confers jurisdiction on the Court of Chancery of the State of Delaware, or (iv) any action asserting a claim arising pursuant to any provision of the Certificate of Incorporation or the Bylaws or governed by the internal affairs doctrine. The Company notes that there is uncertainty as to whether a court would enforce the provision and that investors cannot waive compliance with the federal securities laws and the rules and regulations thereunder. Although the Company believes this provision benefits the Company by providing increased consistency in the application of Delaware law in the types of lawsuits to which it applies, the provision may have the effect of discouraging lawsuits against the Company’s directors and officers.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Directors’ Liability</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Certificate of Incorporation limits the personal liability of directors to the Company or its stockholders for monetary damages for breach of fiduciary duty as a director to the maximum extent permitted by the DGCL and provides that no director will have personal liability to the Company or to its stockholders for monetary damages for breach of fiduciary duty. However, these provisions do not eliminate or limit the liability of any of the Company’s directors:</w:t>
      </w:r>
    </w:p>
    <w:p>
      <w:pPr>
        <w:spacing w:after="0" w:line="180"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the director’s duty of loyalty to the Company or its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which involve intentional misconduct or a knowing violation of law;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DGCL;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derived an improper personal benefit.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supplements, summarizes the material terms and provisions of the debt securities that we may offer under this prospectus. While the terms we have summarized below will apply generally to any future debt securities we may offer pursuant to this prospectus, we will describe the particular terms of any debt securities that we may offer in more detail in the applicable prospectus supplement. If we so indicate in a prospectus supplement, the terms of any debt securities offered under such prospectus supplement may differ from the terms we describe below, and to the extent the terms set forth in a prospectus supplement differ from the terms described below, the terms set forth in the prospectus supplement shall control.</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sell from time to time, in one or more offerings under this prospectus, debt securities, which may be senior or subordinated. We will issue any such senior debt securities under a senior indenture that we will enter into with a trustee to be named in the senior indenture. We will issue any such subordinated debt securities under a subordinated indenture, which we will enter into with a trustee to be named in the subordinated indenture. We have filed forms of these documents as exhibits to the registration statement, of which this prospectus is a part. We use the term “indentures” to refer to either the senior indenture or the subordinated indenture, as applicable. The indentures will be qualified under the Trust Indenture Act of 1939, as in effect on the date of the indenture. We use the term “debenture trustee” to refer to either the trustee under the senior indenture or the trustee under the subordinated indenture, as applicable.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summaries of material provisions of the senior debt securities, the subordinated debt securities and the indentures are subject to, and qualified in their entirety by reference to, all the provisions of the indenture applicable to a particular series of debt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indenture provides that debt securities may be issued from time to time in one or more series and may be denominated and payable in foreign currencies or units based on or relating to foreign currencies. Neither indenture limits the amount of debt securities that may be issued thereunder, and each indenture provides that the specific terms of any series of debt securities shall be set forth in, or determined pursuant to, an authorizing resolution and/or a supplemental indenture, if any, relating to such series.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describe in each prospectus supplement the following terms relating to a series of debt securities:</w:t>
      </w:r>
    </w:p>
    <w:p>
      <w:pPr>
        <w:spacing w:after="0" w:line="22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or designation;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and any limit on the amount that may be issued;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units based on or relating to currencies in which debt securities of such series are denominated and the currency or units in which principal or interest or both will or may be payable;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issue the series of debt securities in global form, the terms of any global securities and who the depositary will be;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and the date or dates on which principal will be payable;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which may be fixed or variable, or the method for determining the rate and the date interest will begin to accrue, the date or dates interest will be payable and the record dates for interest payment dates or the method for determining such dates;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 w:name="page21"/>
    <w:bookmarkEnd w:id="20"/>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subordination of any series of subordinated debt;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payments will be payable;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interest and the maximum length of any such deferral period;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after which, and the price at which, we may, at our option, redeem the series of debt securities pursuant to any optional redemption provisions;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which, and the price at which we are obligated, pursuant to any mandatory sinking fund provisions or otherwise, to redeem, or at the holder’s option to purchase, the series of debt securities;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indenture will restrict our ability to pay dividends, or will require us to maintain any asset ratios or reserves;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be restricted from incurring any additional indebtedness;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or special U.S. federal income tax considerations applicable to a series of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we will issue the series of debt securities, if other than denominations of $1,000 and any integral multiple thereof;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debt securities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set forth in the prospectus supplement the terms, if any, on which a series of debt securities may be convertible into or exchangeable for our common stock or our other securities. We will include provisions as to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Merger or Sale; No Protection in Event of a Change of Control or Highly Leveraged Transaction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indentures do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debt securities will not contain any provisions that may afford holders of the debt securities protection in the event we have a change of control or in the event of a highly leveraged transaction (whether or not such transaction results in a change of control), which could adversely affect holders of debt securities.</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Events of Default Under the Indenture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events of default under the indentures with respect to any series of debt securities that we may issue:</w:t>
      </w:r>
    </w:p>
    <w:p>
      <w:pPr>
        <w:spacing w:after="0" w:line="22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interest when due and our failure continues for 90 days and the time for payment has not been extended or deferred;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the principal, or premium, if any, when due and the time for payment has not been extended or delayed;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observe or perform any other covenant set forth in the debt securities of such series or the applicable indentures, other than a covenant specifically relating to and for the benefit of holders of another series of debt securities, and our failure continues for 90 days after we receive written notice from the debenture trustee or holders of not less than a majority in aggregate principal amount of the outstanding debt securities of the applicable series; and</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events of bankruptcy, insolvency or reorganization occur as to us.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an event of default may constitute an event of default under any bank credit agreements we may have in existence from time to time. In addition, the occurrence of certain events of default or an acceleration under the indenture may constitute an event of default under certain of our other indebtedness outstanding from time to time.</w:t>
      </w:r>
    </w:p>
    <w:p>
      <w:pPr>
        <w:spacing w:after="0" w:line="18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If an event of default with respect to debt securities of any series at the time outstanding occurs and is continuing, then the trustee or the holders of not less than a majority in principal amount of the outstanding debt securities of that series may, by a notice in writing to us (and to the debenture trustee if given by the holders), declare to be due and payable immediately the principal (or, if the debt securities of that series are discount securities, that portion of the principal amount as may be specified in the terms of that series) of and premium and accrued and unpaid interest, if any, on all debt securities of that series. Before a judgment or decree for payment of the money due has been obtained with respect to debt securities of any series, the holders of a majority in principal amount of the outstanding debt securities of that series (or, at a meeting of holders of such series at which a quorum is present, the holders of a majority in principal amount of the debt securities of such series represented at such meeting) may rescind and annul the acceleration if all events of default, other than the non-payment of accelerated principal, premium, if any, and interest, if any, with respect to debt securities of that series, have been cured or waived as provided in the applicable indenture (including payments or deposits in respect of principal, premium or interest that had become due other than as a result of such acceleration).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indentures, if an event of default under an indenture shall occur and be continuing, the debenture trustee will be under no obligation to exercise any of its rights or powers under such indenture at the request or direction of any of the holders of the applicable series of debt securities, unless such holders have offered the debenture trustee reasonable indemnity. The holders of a majority in principal amount of the outstanding debt securities of any series will have the right to direct the time, method and place of conducting any proceeding for any remedy available to the debenture trustee, or exercising any trust or power conferred on the debenture trustee, with respect to the debt securities of that series, provided that:</w:t>
      </w:r>
    </w:p>
    <w:p>
      <w:pPr>
        <w:spacing w:after="0" w:line="183"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so given by the holder is not in conflict with any law or the applicable indenture; and</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duties under the Trust Indenture Act, the debenture trustee need not take any action that might involve it in personal liability or might be unduly prejudicial to the holders not involved in the proceeding.</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 w:name="page23"/>
    <w:bookmarkEnd w:id="22"/>
    <w:p>
      <w:pPr>
        <w:spacing w:after="0" w:line="282" w:lineRule="auto"/>
        <w:rPr>
          <w:sz w:val="20"/>
          <w:szCs w:val="20"/>
          <w:color w:val="auto"/>
        </w:rPr>
      </w:pPr>
      <w:r>
        <w:rPr>
          <w:rFonts w:ascii="Times New Roman" w:cs="Times New Roman" w:eastAsia="Times New Roman" w:hAnsi="Times New Roman"/>
          <w:sz w:val="18"/>
          <w:szCs w:val="18"/>
          <w:color w:val="auto"/>
        </w:rPr>
        <w:t>A holder of the debt securities of any series will only have the right to institute a proceeding under the indentures or to appoint a receiver or trustee, or to seek other remedies if:</w:t>
      </w:r>
    </w:p>
    <w:p>
      <w:pPr>
        <w:spacing w:after="0" w:line="162"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previously has given written notice to the debenture trustee of a continuing event of default with respect to that series;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a majority in aggregate principal amount of the outstanding debt securities of that series have made written request, and such holders have offered reasonable indemnity to the debenture trustee to institute the proceeding as trustee;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debenture trustee does not institute the proceeding, and does not receive from the holders of a majority in aggregate principal amount of the outstanding debt securities of that series (or at a meeting of holders of such series at which a quorum is present, the holders of a majority in principal amount of the debt securities of such series represented at such meeting) other conflicting directions within 60 days after the notice, request and offer.</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limitations do not apply to a suit instituted by a holder of debt securities if we default in the payment of the principal, premium, if any, or interest on, the debt securities.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periodically file statements with the applicable debenture trustee regarding our compliance with specified covenants in the applicable indenture.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of Indenture; Waiver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indentures, the rights of holders of a series of debt securities may be changed by us and the debenture trustee with the written consent of the holders of at least a majority in aggregate principal amount of the outstanding debt securities of each series (or, at a meeting of holders of such series at which a quorum is present, the holders of a majority in principal amount of the debt securities of such series represented at such meeting) that is affected. However, the debenture trustee and we may make the following changes only with the consent of each holder of any outstanding debt securities affected:</w:t>
      </w:r>
    </w:p>
    <w:p>
      <w:pPr>
        <w:spacing w:after="0" w:line="180"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fix any ambiguity, defect or inconsistency in the indenture;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anything that does not materially adversely affect the interests of any holder of debt securities of any series issued pursuant to such indenture.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under the indentures, the rights of holders of a series of debt securities may be changed by us and the debenture trustee with the written consent of the holders of at least a majority in aggregate principal amount of the outstanding debt securities of each series (or, at a meeting of holders of such series at which a quorum is present, the holders of a majority in principal amount of the debt securities of such series represented at such meeting) that is affected. However, the debenture trustee and we may make the following changes only with the consent of each holder of any outstanding debt securities affected:</w:t>
      </w:r>
    </w:p>
    <w:p>
      <w:pPr>
        <w:spacing w:after="0" w:line="180"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fixed maturity of the series of debt securities;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reducing the rate of or extending the time of payment of interest, or any premium payable upon the redemption of any debt securities;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3" w:name="page24"/>
    <w:bookmarkEnd w:id="23"/>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of discount securities payable upon acceleration of maturity;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the principal of or premium or interest on any debt security payable in currency other than that stated in the debt security;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of debt securities, the holders of which are required to consent to any amendment or waiver.</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Except for certain specified provisions, the holders of at least a majority in principal amount of the outstanding debt securities of any series (or, at a meeting of holders of such series at which a quorum is present, the holders of a majority in principal amount of the debt securities of such series represented at such meeting)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or in respect of a covenant or provision, which cannot be modified or amended without the consent of the holder of each outstanding debt security of the series affected;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holders of a majority in principal amount of the outstanding debt securities of any series may rescind an acceleration and its consequences, including any related payment default that resulted from the acceleration.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Discharge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indenture provides that we can elect to be discharged from our obligations with respect to one or more series of debt securities, except for obligations to:</w:t>
      </w:r>
    </w:p>
    <w:p>
      <w:pPr>
        <w:spacing w:after="0" w:line="162"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or exchange of debt securities of the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stolen, lost or mutilated debt securities of the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paying agencies;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monies for payment in trust;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and indemnify the trustee;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any successor trustee.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order to exercise our rights to be discharged with respect to a series, we must deposit with the trustee money or government obligations sufficient to pay all the principal of, the premium, if any, and interest on, the debt securities of the series on the dates payments are due.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4" w:name="page25"/>
    <w:bookmarkEnd w:id="24"/>
    <w:p>
      <w:pPr>
        <w:jc w:val="both"/>
        <w:spacing w:after="0" w:line="266" w:lineRule="auto"/>
        <w:rPr>
          <w:sz w:val="20"/>
          <w:szCs w:val="20"/>
          <w:color w:val="auto"/>
        </w:rPr>
      </w:pPr>
      <w:r>
        <w:rPr>
          <w:rFonts w:ascii="Times New Roman" w:cs="Times New Roman" w:eastAsia="Times New Roman" w:hAnsi="Times New Roman"/>
          <w:sz w:val="18"/>
          <w:szCs w:val="18"/>
          <w:color w:val="auto"/>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or in the applicable indenture, we will make no service charge for any registration of transfer or exchange, but we may require payment of any taxes or other governmental charges.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elect to redeem the debt securities of any series, we will not be required to:</w:t>
      </w:r>
    </w:p>
    <w:p>
      <w:pPr>
        <w:spacing w:after="0" w:line="225" w:lineRule="exact"/>
        <w:rPr>
          <w:sz w:val="20"/>
          <w:szCs w:val="20"/>
          <w:color w:val="auto"/>
        </w:rPr>
      </w:pPr>
    </w:p>
    <w:p>
      <w:pPr>
        <w:jc w:val="both"/>
        <w:ind w:left="66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securities so selected for redemption, in whole or in part, except the unredeemed portion of any debt securities we are redeeming in part.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Concerning the Debenture Trustee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debenture trustee, other than during the occurrence and continuance of an event of default under the applicable indenture, undertakes to perform only those duties as are specifically set forth in the applicable indenture. Upon an event of default under an indenture, the debenture trustee under such indenture must use the same degree of care as a prudent person would exercise or use in the conduct of his or her own affairs. Subject to this provision, the debenture trustee is under no obligation to exercise any of the powers given it by the indentures at the request of any holder of debt securities unless it is offered reasonable security and indemnity against the costs, expenses and liabilities that it might incur.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will we make interest payments by check which we will mail to the holder. Unless we otherwise indicate in a prospectus supplement, we will designate the corporate trust office of the debenture trustee in the City of New York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5" w:name="page26"/>
    <w:bookmarkEnd w:id="25"/>
    <w:p>
      <w:pPr>
        <w:jc w:val="both"/>
        <w:spacing w:after="0" w:line="266" w:lineRule="auto"/>
        <w:rPr>
          <w:sz w:val="20"/>
          <w:szCs w:val="20"/>
          <w:color w:val="auto"/>
        </w:rPr>
      </w:pPr>
      <w:r>
        <w:rPr>
          <w:rFonts w:ascii="Times New Roman" w:cs="Times New Roman" w:eastAsia="Times New Roman" w:hAnsi="Times New Roman"/>
          <w:sz w:val="18"/>
          <w:szCs w:val="18"/>
          <w:color w:val="auto"/>
        </w:rPr>
        <w:t>All money we pay to a paying agent or the debenture trustee for the payment of the principal of or any premium or interest on any debt securities which remains unclaimed at the end of two years after such principal, premium or interest has become due and payable will be repaid to us, and the holder of the security thereafter may look only to us for payment thereof.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indentures and the debt securities will be governed by and construed in accordance with the laws of the State of New York, except to the extent that the Trust Indenture Act is applicable.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Subordination of Subordinated Debt Securities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obligations pursuant to any subordinated debt securities will be unsecured and will be subordinate and junior in priority of payment to certain of our other indebtedness to the extent described in a prospectus supplement. The subordinated indenture does not limit the amount of senior indebtedness we may incur. It also does not limit us from issuing any other secured or unsecured debt.</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issue warrants for the purchase of common stock or preferred stock in one or more series. We may issue warrants independently or together with common stock or preferred stock, and the warrants may be attached to or separate from these securities.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evidence each series of warrants by warrant certificates that we may issue under a separate agreement. We may enter into a warrant agreement with a warrant agent. Each warrant agent may be a bank that we select which has its principal office in the United States. We may also choose to act as our own warrant agent. We will indicate the name and address of any such warrant agent in the applicable prospectus supplement relating to a particular series of warrants.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warrants, including:</w:t>
      </w:r>
    </w:p>
    <w:p>
      <w:pPr>
        <w:spacing w:after="0" w:line="225"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and aggregate number of warrants offered;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such security or each principal amount of such security;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the warrants and the related securities will be separately transferable;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number or amount of shares of common stock or preferred stock, as the case may be, purchasable upon the exercise of one warrant and the price at which and currency in which these shares may be purchased upon such exercise;</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of exercise of the warrants, including any cashless exercise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agreement under which the warrants will be issued;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merger, consolidation, sale or other disposition of our business on the warrant agreement and the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anti-dilution provisions of the warrants,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changes to or adjustments in the exercise price or number of securities issuable upon exercise of the warrants;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will commence and expire or, if the warrants are not continuously exercisable during that period, the specific date or dates on which the warrants will be exercisable;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warrant agreement and warrants may be modified;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identities of the warrant agent and any calculation or other agent for the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income tax consequences of holding or exercising the warrants;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7" w:name="page28"/>
    <w:bookmarkEnd w:id="27"/>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quotation system on which the warrants or any securities deliverable upon exercise of the warrants may be listed or quoted;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warrants.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Before exercising their warrants, holders of warrants will not have any of the rights of holders of the securities purchasable upon such exercise, including, in the case of warrants to purchase common stock or preferred stock, the right to receive dividends, if any, or payments upon our liquidation, dissolution or winding up or to exercise voting rights, if 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of Warrants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warrant will entitle the holder to purchase the securities that we specify in the applicable prospectus supplement at the exercise price that we describe in the applicable prospectus supplement. Unless we otherwise specify in the applicable prospectus supplement, holders of the warrants may exercise the warrants at any time up to 5:00 P.M. Eastern Time, the close of business, on the expiration date that we set forth in the applicable prospectus supplement. After the close of business on the expiration date, unexercised warrants will become void.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Holders of the warrants may exercise the warrants by delivering the warrant certificate representing the warrants to be exercised together with specified information, and paying the required exercise price by the methods provided in the applicable prospectus supplement. We will set forth on the reverse side of the warrant certificate, and in the applicable prospectus supplement, the information that the holder of the warrant will be required to deliver to the warrant agent.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receipt of the required payment and the warrant certificate properly completed and duly executed at the corporate trust office of the warrant agent or any other office indicated in the applicable prospectus supplement, we will issue and deliver the securities purchasable upon such exercise. If fewer than all of the warrants represented by the warrant certificate are exercised, then we will issue a new warrant certificate for the remaining amount of warrants.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Warrants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warrant agent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the holder’s right to exercise, and receive the securities purchasable upon exercise of, its warrants in accordance with their terms.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Agreement Will Not Be Qualified Under Trust Indenture Act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warrant agreement will be qualified as an indenture, and no warrant agent will be required to qualify as a trustee, under the Trust Indenture Act of 1939. Therefore, holders of warrants issued under a warrant agreement will not have the protection of the Trust Indenture Act of 1939 with respect to their warrants.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Unless we provide otherwise in the applicable prospectus supplement, each warrant agreement and any warrants issued under the warrant agreements will be governed by New York law.</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SUBSCRIPTION RIGHTS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general description of the terms of the subscription rights we may issue from time to time. Particular terms of any subscription rights we offer will be described in the prospectus supplement relating to such subscription rights, and may differ from the terms described herein.</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issue subscription rights to purchase shares of our common stock or other securities offered hereby. These subscription rights may be issued independently or together with any other security offered hereby and may or may not be transferable by the stockholder receiving the subscription rights in such offering. Each series of subscription rights will be issued under a separate subscription rights agreement to be entered into between us and a bank or trust company, as rights agent. The rights agent will act solely as our agent in connection with the certificates relating to the subscription rights of the series of certificates and will not assume any obligation or relationship of agency or trust for or with any holders of subscription rights certificates or beneficial owners of subscription rights.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will describe the specific terms of any offering of subscription rights for which this prospectus is being delivered, including the following:</w:t>
      </w:r>
    </w:p>
    <w:p>
      <w:pPr>
        <w:spacing w:after="0" w:line="162"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shares of our common stock or other securities will be offered under the stockholder subscription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determining the stockholders entitled to the subscription rights distribution;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if any, for the subscription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payable for each security upon the exercise of the subscription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subscription rights issued to each stockholder;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terms of the securities which may be purchased per each subscription right;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are transferable and the date, if any, on and after which the rights may be separately transferred;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subscription rights, including the terms, procedures and limitations relating to the exchange and exercise of the subscription rights;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subscription rights shall commence, and the date on which the subscription rights shall expire;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to the completion of the offering,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 relating to the withdrawal, termination or cancellation of the subscription rights,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may include an over-subscription privilege with respect to unsubscribed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appropriate, a discussion of material U.S. federal income tax considerations;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or purchase arrangement entered into by us in connection with the offering of subscription rights.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9" w:name="page30"/>
    <w:bookmarkEnd w:id="29"/>
    <w:p>
      <w:pPr>
        <w:jc w:val="both"/>
        <w:spacing w:after="0" w:line="266" w:lineRule="auto"/>
        <w:rPr>
          <w:sz w:val="20"/>
          <w:szCs w:val="20"/>
          <w:color w:val="auto"/>
        </w:rPr>
      </w:pPr>
      <w:r>
        <w:rPr>
          <w:rFonts w:ascii="Times New Roman" w:cs="Times New Roman" w:eastAsia="Times New Roman" w:hAnsi="Times New Roman"/>
          <w:sz w:val="18"/>
          <w:szCs w:val="18"/>
          <w:color w:val="auto"/>
        </w:rPr>
        <w:t>The description in the applicable prospectus supplement of any subscription rights we offer will not necessarily be complete and will be qualified in its entirety by reference to the applicable subscription rights certificate or subscription rights agreement, which will be filed with the SEC if we offer subscription rights.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subscription right will entitle the holder thereof to purchase for cash the principal amount of shares of common stock or other securities at the exercise price provided in the applicable prospectus supplement. Subscription rights may be exercised at any time up to the close of business on the expiration date for the subscription rights provided in the applicable prospectus supplement.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Holders may exercise subscription rights as described in the applicable prospectus supplement. Upon receipt of payment and the subscription rights certificate properly completed and duly executed at the corporate trust office of the rights agent or any other office indicated in the prospectus supplement, we will, as soon as practicable, forward the shares of common stock or other securities, as applicable, purchasable upon exercise of the subscription rights. If less than all of the subscription rights issued in any subscription rights offering are exercised, we may offer any unsubscribed securities directly to persons other than stockholders, to or through agents, underwriters or dealers or through a combination of such methods, including pursuant to standby arrangements, as described in the applicable prospectus supplement.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Rights Agent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rights agent for any subscription rights we offer will be set forth in the applicable prospectus supplement.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issue units comprised of one or more of the other securities described in this prospectus or any prospectus supplement in any combination. Each unit will be issued so that the holder of the unit is also the holder, with the rights and obligations of a holder, of each security included in the unit. The unit agreement under which a unit is issued may provide that the securities included in the unit may not be held or transferred separately, at any time or at any times before a specified date or upon the occurrence of a specified event or occurrence.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applicable prospectus supplement will describe:</w:t>
      </w:r>
    </w:p>
    <w:p>
      <w:pPr>
        <w:spacing w:after="0" w:line="225" w:lineRule="exact"/>
        <w:rPr>
          <w:sz w:val="20"/>
          <w:szCs w:val="20"/>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the terms of the units and of the securities comprising the units, including whether and under what circumstances those securities may be held or transferred separately;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unit agreement under which the units will be issued;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units will be issued in fully registered or global form.</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sell the securities offered pursuant to this prospectus from time to time in one or more transactions, including, without limitation:</w:t>
      </w:r>
    </w:p>
    <w:p>
      <w:pPr>
        <w:spacing w:after="0" w:line="225"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broker-dealers (acting as agent or principal);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by us to one or more purchasers (including our affiliates and stockholders), through a specific bidding or auction process, a rights offering or otherwise;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such methods of sale;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other methods described in a prospectus supplement or free writing prospectus.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transactions (which may involve crosses) and transactions on Nasdaq or any other organized market where the securities may be traded;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own account pursuant to a prospectus supplement or free writing prospectus;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a broker-dealer solicits purchasers;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“at the market” to or through a market maker or into an existing trading market, on an exchange or otherwise;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in other ways not involving market makers or established trading markets, including direct sales to purchasers.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prospectus supplement or free writing prospectus will describe the terms of the offering of the securities, including: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if, and if required, any dealers or agents;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and the proceeds we will receive from the sale;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and other items constituting underwriters’ compensation;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securities may be listed or traded.</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We may distribute the securities from time to time in one or more transactions at:</w:t>
      </w:r>
    </w:p>
    <w:p>
      <w:pPr>
        <w:spacing w:after="0" w:line="225"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fixed price or prices, which may be changed;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prices prevailing at the time of sale;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related to such prevailing market prices;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prices.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Only underwriters named in the prospectus supplement are underwriters of the securities offered by the prospectus supplement.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underwriters are used in an offering, we will execute an underwriting agreement with such underwriters and will specify the name of each underwriter and the terms of the transaction (including any underwriting discounts and other terms constituting compensation of the underwriters and any dealers) in a prospectus supplement. The securities may be offered to the public either through underwriting syndicates represented by managing underwriters or directly by one or more investment banking firms or others, as designated. If an underwriting syndicate is used, the managing underwriter(s) will be specified on the cover of the prospectus supplement. If underwriters are used in the sale, the offered securities will be acquired by the underwriters for their own accounts and may be resold from time to time in one or more transactions, including negotiated transactions, at a fixed public offering price or at varying prices determined at the time of sale. Any public offering price and any discounts or concessions allowed or reallowed or paid to dealers may be changed from time to time. Unless otherwise set forth in the prospectus supplement, the obligations of the underwriters to purchase the offered securities will be subject to conditions precedent, and the underwriters will be obligated to purchase all of the offered securities, if any are purchased.</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grant the underwriters options to purchase additional securities to cover over-allotments, if any, at the public offering price, with additional underwriting commissions or discounts, as may be set forth in a related prospectus supplement. The terms of any over-allotment option will be set forth in the prospectus supplement for those securities.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use a dealer in the sale of the securities being offered pursuant to this prospectus or any prospectus supplement, we will sell the securities to the dealer, as principal. The dealer may then resell the securities to the public at varying prices to be determined by the dealer at the time of resale. The names of the dealers and the terms of the transaction will be specified in a prospectus supplement.</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may sell the securities directly or through agents we designate from time to time. We will name any agent involved in the offering and sale of securities and we will describe any commissions we will pay the agent in the prospectus supplement. Unless the prospectus supplement states otherwise, any agent will act on a best-efforts basis for the period of its appointment.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authorize agents or underwriters to solicit offers by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sale of the securities, underwriters, dealers or agents may receive compensation from us or from purchasers of the securities for whom they act as agents, in the form of discounts, concessions or commissions. Underwriters may sell the securities to or through dealers, and those dealers may receive compensation in the form of discounts, concessions or commissions from the underwriters or commissions from the purchasers for whom they may act as agents. Underwriters, dealers and agents that participate in the distribution of the securities, and any institutional investors or others that purchase securities directly for the purpose of resale or distribution, may be deemed to be underwriters, and any discounts or commissions received by them from us and any profit on the resale of the common stock by them may be deemed to be underwriting discounts and commissions under the Securities Act.</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3" w:name="page34"/>
    <w:bookmarkEnd w:id="33"/>
    <w:p>
      <w:pPr>
        <w:jc w:val="both"/>
        <w:spacing w:after="0" w:line="266" w:lineRule="auto"/>
        <w:rPr>
          <w:sz w:val="20"/>
          <w:szCs w:val="20"/>
          <w:color w:val="auto"/>
        </w:rPr>
      </w:pPr>
      <w:r>
        <w:rPr>
          <w:rFonts w:ascii="Times New Roman" w:cs="Times New Roman" w:eastAsia="Times New Roman" w:hAnsi="Times New Roman"/>
          <w:sz w:val="18"/>
          <w:szCs w:val="18"/>
          <w:color w:val="auto"/>
        </w:rPr>
        <w:t>We may provide agents, underwriters and other purchasers with indemnification against particular civil liabilities, including liabilities under the Securities Act, or contribution with respect to payments that the agents, underwriters or other purchasers may make with respect to such liabilities. Agents and underwriters may engage in transactions with, or perform services for, us in the ordinary course of business.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facilitate the public offering of a series of securities, persons participating in the offering may engage in transactions that stabilize, maintain, or otherwise affect the market price of the securities. This may include over-allotments or short sales of the securities, which involves the sale by persons participating in the offering of more securities than have been sold to them by us. In addition, those persons may stabilize or maintain the price of the securities by bidding for or purchasing securities in the open market or by imposing penalty bids, whereby selling concessions allowed to underwriters or dealers participating in any such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Such transactions, if commenced, may be discontinued at any time. We make no representation or prediction as to the direction or magnitude of any effect that the transactions described above, if implemented, may have on the price of our securities.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any common stock sold pursuant to a prospectus supplement will be eligible for listing on Nasdaq, subject to official notice of issuance. Any underwriters to whom securities are sold by us for public offering and sale may make a market in the securities, but such underwriters will not be obligated to do so and may discontinue any market making at any time without notice.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some states, if applicable, the securities offered pursuant to this prospectus will be sold in those states only through registered or licensed brokers or dealers. In addition, in some states securities may not be sold unless they have been registered or qualified for sale in the applicable state or an exemption from the registration or qualification requirement is available and complied with.</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validity of the securities offered by this prospectus will be passed upon for us by Haynes and Boone, LLP, New York, New York.</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financial statements of KALA BIO, Inc. as of and for the year ended December 31, 2024, incorporated by reference in this prospectus,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KALA BIO, Inc. as of and for the year ended December 31, 2025, incorporated by reference in this prospectus have been audited by HTL International, LLC, an independent registered public accounting firm, as stated in their report. Such consolidated financial statements have been incorporated herein by reference in reliance on the report of such firms given upon their authority as experts in accounting and auditing.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are subject to the informational requirements of the Exchange Act, and in accordance therewith file annual, quarterly and current reports, proxy statements and other information with the SEC. The SEC maintains an internet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that contains periodic and current reports, proxy and information statements and other information regarding registrants that are filed electronically with the SEC.</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These documents are also available, free of charge, through the SEC Filings portion of the Investor Relations section of our website, which is located at </w:t>
      </w:r>
      <w:r>
        <w:rPr>
          <w:rFonts w:ascii="Times New Roman" w:cs="Times New Roman" w:eastAsia="Times New Roman" w:hAnsi="Times New Roman"/>
          <w:sz w:val="18"/>
          <w:szCs w:val="18"/>
          <w:i w:val="1"/>
          <w:iCs w:val="1"/>
          <w:color w:val="auto"/>
        </w:rPr>
        <w:t>www.kalarx.com</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filed with the SEC a registration statement under the Securities Act, relating to the offering of these securities. The registration statement, including the attached exhibits, contains additional relevant information about us and the securities. This prospectus does not contain all of the information set forth in the registration statement. You can obtain a copy of the registration statement for free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The registration statement and the documents referred to below under “Incorporation of Documents by Reference” are also available on our website, </w:t>
      </w:r>
      <w:r>
        <w:rPr>
          <w:rFonts w:ascii="Times New Roman" w:cs="Times New Roman" w:eastAsia="Times New Roman" w:hAnsi="Times New Roman"/>
          <w:sz w:val="18"/>
          <w:szCs w:val="18"/>
          <w:i w:val="1"/>
          <w:iCs w:val="1"/>
          <w:color w:val="auto"/>
        </w:rPr>
        <w:t>www.kalarx.com</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not incorporated by reference into this prospectus the information on our website, and you should not consider it to be a part of this prospectus.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DOCUMENTS BY REFERENCE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have filed with it, which means that we can disclose important information to you by referring you to those documents. The information we incorporate by reference is an important part of this prospectus, and later information that we file with the SEC will automatically update and supersede this information. We specifically are incorporating by reference the following documents filed with the SEC and any future documents we file with the SEC pursuant to Sections l3(a), l3(c), 14 or l5(d) of the Exchange Act (excluding those portions of any Current Report on Form 8-K that are furnished and not deemed “filed” pursuant to the General Instructions of Form 8-K), in each case, between the date of the initial registration statement and the effectiveness of the registration statement and following the effectiveness of the registration statement until the offering of the securities under the registration statement is terminated:</w:t>
      </w:r>
    </w:p>
    <w:p>
      <w:pPr>
        <w:spacing w:after="0" w:line="189"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52">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2025, filed with the SEC on April 15, 2026;</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53">
        <w:r>
          <w:rPr>
            <w:rFonts w:ascii="Times New Roman" w:cs="Times New Roman" w:eastAsia="Times New Roman" w:hAnsi="Times New Roman"/>
            <w:sz w:val="18"/>
            <w:szCs w:val="18"/>
            <w:u w:val="single" w:color="auto"/>
            <w:color w:val="0000EE"/>
          </w:rPr>
          <w:t>January 2, 2026</w:t>
        </w:r>
      </w:hyperlink>
      <w:r>
        <w:rPr>
          <w:rFonts w:ascii="Times New Roman" w:cs="Times New Roman" w:eastAsia="Times New Roman" w:hAnsi="Times New Roman"/>
          <w:sz w:val="18"/>
          <w:szCs w:val="18"/>
          <w:color w:val="auto"/>
        </w:rPr>
        <w:t xml:space="preserve">; </w:t>
      </w:r>
      <w:hyperlink r:id="rId54">
        <w:r>
          <w:rPr>
            <w:rFonts w:ascii="Times New Roman" w:cs="Times New Roman" w:eastAsia="Times New Roman" w:hAnsi="Times New Roman"/>
            <w:sz w:val="18"/>
            <w:szCs w:val="18"/>
            <w:u w:val="single" w:color="auto"/>
            <w:color w:val="0000EE"/>
          </w:rPr>
          <w:t>January 6, 2026</w:t>
        </w:r>
      </w:hyperlink>
      <w:r>
        <w:rPr>
          <w:rFonts w:ascii="Times New Roman" w:cs="Times New Roman" w:eastAsia="Times New Roman" w:hAnsi="Times New Roman"/>
          <w:sz w:val="18"/>
          <w:szCs w:val="18"/>
          <w:color w:val="auto"/>
        </w:rPr>
        <w:t xml:space="preserve">; </w:t>
      </w:r>
      <w:hyperlink r:id="rId55">
        <w:r>
          <w:rPr>
            <w:rFonts w:ascii="Times New Roman" w:cs="Times New Roman" w:eastAsia="Times New Roman" w:hAnsi="Times New Roman"/>
            <w:sz w:val="18"/>
            <w:szCs w:val="18"/>
            <w:u w:val="single" w:color="auto"/>
            <w:color w:val="0000EE"/>
          </w:rPr>
          <w:t>January 8, 2026</w:t>
        </w:r>
      </w:hyperlink>
      <w:r>
        <w:rPr>
          <w:rFonts w:ascii="Times New Roman" w:cs="Times New Roman" w:eastAsia="Times New Roman" w:hAnsi="Times New Roman"/>
          <w:sz w:val="18"/>
          <w:szCs w:val="18"/>
          <w:color w:val="auto"/>
        </w:rPr>
        <w:t xml:space="preserve">; </w:t>
      </w:r>
      <w:hyperlink r:id="rId56">
        <w:r>
          <w:rPr>
            <w:rFonts w:ascii="Times New Roman" w:cs="Times New Roman" w:eastAsia="Times New Roman" w:hAnsi="Times New Roman"/>
            <w:sz w:val="18"/>
            <w:szCs w:val="18"/>
            <w:u w:val="single" w:color="auto"/>
            <w:color w:val="0000EE"/>
          </w:rPr>
          <w:t>January 23, 2026</w:t>
        </w:r>
      </w:hyperlink>
      <w:r>
        <w:rPr>
          <w:rFonts w:ascii="Times New Roman" w:cs="Times New Roman" w:eastAsia="Times New Roman" w:hAnsi="Times New Roman"/>
          <w:sz w:val="18"/>
          <w:szCs w:val="18"/>
          <w:color w:val="auto"/>
        </w:rPr>
        <w:t xml:space="preserve">; </w:t>
      </w:r>
      <w:hyperlink r:id="rId57">
        <w:r>
          <w:rPr>
            <w:rFonts w:ascii="Times New Roman" w:cs="Times New Roman" w:eastAsia="Times New Roman" w:hAnsi="Times New Roman"/>
            <w:sz w:val="18"/>
            <w:szCs w:val="18"/>
            <w:u w:val="single" w:color="auto"/>
            <w:color w:val="0000EE"/>
          </w:rPr>
          <w:t>February 2, 2026</w:t>
        </w:r>
      </w:hyperlink>
      <w:r>
        <w:rPr>
          <w:rFonts w:ascii="Times New Roman" w:cs="Times New Roman" w:eastAsia="Times New Roman" w:hAnsi="Times New Roman"/>
          <w:sz w:val="18"/>
          <w:szCs w:val="18"/>
          <w:color w:val="auto"/>
        </w:rPr>
        <w:t xml:space="preserve">; </w:t>
      </w:r>
      <w:hyperlink r:id="rId58">
        <w:r>
          <w:rPr>
            <w:rFonts w:ascii="Times New Roman" w:cs="Times New Roman" w:eastAsia="Times New Roman" w:hAnsi="Times New Roman"/>
            <w:sz w:val="18"/>
            <w:szCs w:val="18"/>
            <w:u w:val="single" w:color="auto"/>
            <w:color w:val="0000EE"/>
          </w:rPr>
          <w:t>February 5,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9">
        <w:r>
          <w:rPr>
            <w:rFonts w:ascii="Times New Roman" w:cs="Times New Roman" w:eastAsia="Times New Roman" w:hAnsi="Times New Roman"/>
            <w:sz w:val="18"/>
            <w:szCs w:val="18"/>
            <w:u w:val="single" w:color="auto"/>
            <w:color w:val="0000EE"/>
          </w:rPr>
          <w:t>February 20,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60">
        <w:r>
          <w:rPr>
            <w:rFonts w:ascii="Times New Roman" w:cs="Times New Roman" w:eastAsia="Times New Roman" w:hAnsi="Times New Roman"/>
            <w:sz w:val="18"/>
            <w:szCs w:val="18"/>
            <w:u w:val="single" w:color="auto"/>
            <w:color w:val="0000EE"/>
          </w:rPr>
          <w:t>March 4,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61">
        <w:r>
          <w:rPr>
            <w:rFonts w:ascii="Times New Roman" w:cs="Times New Roman" w:eastAsia="Times New Roman" w:hAnsi="Times New Roman"/>
            <w:sz w:val="18"/>
            <w:szCs w:val="18"/>
            <w:u w:val="single" w:color="auto"/>
            <w:color w:val="0000EE"/>
          </w:rPr>
          <w:t>May 7, 2026</w:t>
        </w:r>
      </w:hyperlink>
      <w:r>
        <w:rPr>
          <w:rFonts w:ascii="Times New Roman" w:cs="Times New Roman" w:eastAsia="Times New Roman" w:hAnsi="Times New Roman"/>
          <w:sz w:val="18"/>
          <w:szCs w:val="18"/>
          <w:color w:val="000000"/>
        </w:rPr>
        <w:t>.</w:t>
      </w:r>
    </w:p>
    <w:p>
      <w:pPr>
        <w:spacing w:after="0" w:line="162" w:lineRule="exact"/>
        <w:rPr>
          <w:rFonts w:ascii="Times New Roman" w:cs="Times New Roman" w:eastAsia="Times New Roman" w:hAnsi="Times New Roman"/>
          <w:sz w:val="18"/>
          <w:szCs w:val="18"/>
          <w:color w:val="0000EE"/>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statement contained herein or in any document incorporated or deemed to be incorporated by reference shall be deemed to be modified or superseded for purposes of the registration statement of which this prospectus forms a part to the extent that a statement contained in any other subsequently filed document which also is or is deemed to be incorporated by reference modifies or supersedes such statement. Any such statement so modified or superseded shall not be deemed to constitute a part of the registration statement of which this prospectus forms a part, except as so modified or superseded.</w:t>
      </w:r>
    </w:p>
    <w:p>
      <w:pPr>
        <w:spacing w:after="0" w:line="180" w:lineRule="exact"/>
        <w:rPr>
          <w:rFonts w:ascii="Times New Roman" w:cs="Times New Roman" w:eastAsia="Times New Roman" w:hAnsi="Times New Roman"/>
          <w:sz w:val="18"/>
          <w:szCs w:val="18"/>
          <w:color w:val="0000EE"/>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prospectus. We have not authorized anyone else to provide you with different information. You should not assume that the information in this prospectus is accurate as of any date other than the date of this prospectus or the date of the documents incorporated by reference in this prospectus.</w:t>
      </w:r>
    </w:p>
    <w:p>
      <w:pPr>
        <w:spacing w:after="0" w:line="176" w:lineRule="exact"/>
        <w:rPr>
          <w:rFonts w:ascii="Times New Roman" w:cs="Times New Roman" w:eastAsia="Times New Roman" w:hAnsi="Times New Roman"/>
          <w:sz w:val="18"/>
          <w:szCs w:val="18"/>
          <w:color w:val="0000EE"/>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provide without charge to each person to whom a copy of this prospectus is delivered, upon written or oral request, a copy of any or all of the information that has been incorporated by reference in this prospectus but not delivered with this prospectus (other than an exhibit to these filings, unless we have specifically incorporated that exhibit by reference in this prospectus). Any such request should be addressed to us at:</w:t>
      </w:r>
    </w:p>
    <w:p>
      <w:pPr>
        <w:spacing w:after="0" w:line="176"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KALA BIO, Inc.</w:t>
      </w:r>
    </w:p>
    <w:p>
      <w:pPr>
        <w:spacing w:after="0" w:line="27"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1167 Massachusetts Avenue</w:t>
      </w:r>
    </w:p>
    <w:p>
      <w:pPr>
        <w:spacing w:after="0" w:line="9"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Arlington, MA 02476</w:t>
      </w:r>
    </w:p>
    <w:p>
      <w:pPr>
        <w:spacing w:after="0" w:line="9"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(781) 996-5252</w:t>
      </w:r>
    </w:p>
    <w:p>
      <w:pPr>
        <w:spacing w:after="0" w:line="205" w:lineRule="exact"/>
        <w:rPr>
          <w:rFonts w:ascii="Times New Roman" w:cs="Times New Roman" w:eastAsia="Times New Roman" w:hAnsi="Times New Roman"/>
          <w:sz w:val="18"/>
          <w:szCs w:val="18"/>
          <w:color w:val="0000EE"/>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You may also access the documents incorporated by reference in this prospectus through our website at </w:t>
      </w:r>
      <w:r>
        <w:rPr>
          <w:rFonts w:ascii="Times New Roman" w:cs="Times New Roman" w:eastAsia="Times New Roman" w:hAnsi="Times New Roman"/>
          <w:sz w:val="18"/>
          <w:szCs w:val="18"/>
          <w:i w:val="1"/>
          <w:iCs w:val="1"/>
          <w:color w:val="auto"/>
        </w:rPr>
        <w:t>www.kalarx.com</w:t>
      </w:r>
      <w:r>
        <w:rPr>
          <w:rFonts w:ascii="Times New Roman" w:cs="Times New Roman" w:eastAsia="Times New Roman" w:hAnsi="Times New Roman"/>
          <w:sz w:val="18"/>
          <w:szCs w:val="18"/>
          <w:color w:val="auto"/>
        </w:rPr>
        <w:t>. Except for the specific incorporated documents listed above, no information available on or through our website shall be deemed to be incorporated in this prospectus or the registration statement of which it forms a part.</w:t>
      </w:r>
    </w:p>
    <w:p>
      <w:pPr>
        <w:spacing w:after="0" w:line="283"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6" w:name="page37"/>
    <w:bookmarkEnd w:id="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534670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$350,000,000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SUBSCRIPTION RIGHTS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280035</wp:posOffset>
            </wp:positionV>
            <wp:extent cx="17830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156845</wp:posOffset>
            </wp:positionV>
            <wp:extent cx="17830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1554480</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1579880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estimated costs and expenses payable by the registrant expected to be incurred in connection with the issuance and distribution of the common stock being registered hereby (other than underwriting discounts and commissions). All of such expenses are estimates, except for the SEC registration fee.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38"/>
        </w:trPr>
        <w:tc>
          <w:tcPr>
            <w:tcW w:w="10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to be Paid</w:t>
            </w:r>
          </w:p>
        </w:tc>
      </w:tr>
      <w:tr>
        <w:trPr>
          <w:trHeight w:val="209"/>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48,335.00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FINRA fee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Printing fees and expenses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Transfer agent and registrar fees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23"/>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34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securities and number of offerings are indeterminable and the expenses cannot be estimated at this time. An estimate of the aggregate expenses in connection with the sale and distribution of securities being offered will be included in the applicable prospectus supplement.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Indemnification of Directors and Officers.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and Bylaws contain provisions relating to the limitation of liability and indemnification of directors and officers. Our Certificate of Incorporation provides that a director will not be personally liable to us or our stockholders for monetary damages for breach of fiduciary duty as a director, except for liability:</w:t>
      </w:r>
    </w:p>
    <w:p>
      <w:pPr>
        <w:spacing w:after="0" w:line="176"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the director’s duty of loyalty to us or our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that involve intentional misconduct or a knowing violation of law;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174 of the DGCL;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derived any improper personal benefit.</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also provides that if the DGCL is amended to authorize corporate action further eliminating or limiting the personal liability of directors, then the liability of our directors will be eliminated or limited to the fullest extent permitted by the DGCL.</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Bylaws provide that we will indemnify our directors and officers to the fullest extent not prohibited by the DGCL; provided, however, that we may limit the extent of such indemnification by individual contracts with our directors and executive officers; and provided, further, that we are not required to indemnify any director or executive officer in connection with any proceeding (or part thereof) initiated by such person or any proceeding by such person against us or our directors, officers, employees or other agents unless:</w:t>
      </w:r>
    </w:p>
    <w:p>
      <w:pPr>
        <w:spacing w:after="0" w:line="180"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indemnification is expressly required to be made by law;</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8" w:name="page39"/>
    <w:bookmarkEnd w:id="38"/>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proceeding was authorized by the Board;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indemnification is provided by us, in our sole discretion, pursuant to the powers vested in us under the DGCL.</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Bylaws provide that we shall advance, prior to the final disposition of any proceeding, promptly following request therefor, all expenses by any director or executive officer in connection with any such proceeding upon receipt of any undertaking by or on behalf of such person to repay said amounts if it should be determined ultimately that such person is not entitled to be indemnified under Article XI of our Bylaws or otherwise. Notwithstanding the foregoing, unless otherwise determined, no advance shall be made by us if a determination is reasonably and promptly made by the Board by a majority vote of a quorum of directors who were not parties to the proceeding, or if such a quorum is not obtainable, or even if obtainable, a quorum of disinterested directors so directs, by independent legal counsel in a written opinion, that the facts known to the decision-making party at the time such determination is made demonstrate clearly and convincingly that such person acted in bad faith or in a manner that such person did not believe to be in or not opposed to our best interests.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Bylaws also authorize us to purchase insurance on behalf of any person required or permitted to be indemnified pursuant to our Bylaws.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Section 145(a) of the DGCL authorizes a corporation to indemnify any person who was or is a party, or is threatened to be made a party, to a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Section 145(b) of the DGCL provides in relevant part that a corporation may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DGCL also provides that indemnification under Section 145(d) can only be made upon a determination that indemnification of the present or former director, officer or employee or agent is proper in the circumstances because such person has met the applicable standard of conduct set forth in Section 145(a) and (b).</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Section 145(g) of the DGCL also empowers a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Section 145 of the DGCL.</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9" w:name="page40"/>
    <w:bookmarkEnd w:id="39"/>
    <w:p>
      <w:pPr>
        <w:jc w:val="both"/>
        <w:spacing w:after="0" w:line="258" w:lineRule="auto"/>
        <w:rPr>
          <w:sz w:val="20"/>
          <w:szCs w:val="20"/>
          <w:color w:val="auto"/>
        </w:rPr>
      </w:pPr>
      <w:r>
        <w:rPr>
          <w:rFonts w:ascii="Times New Roman" w:cs="Times New Roman" w:eastAsia="Times New Roman" w:hAnsi="Times New Roman"/>
          <w:sz w:val="18"/>
          <w:szCs w:val="18"/>
          <w:color w:val="auto"/>
        </w:rPr>
        <w:t>Section 102(b)(7) of the DGCL permits a corporation to provide for eliminating or limiting the personal liability of one of its directors for any monetary damages related to a breach of fiduciary duty as a director, as long as the corporation does not eliminate or limit the liability of a director for acts or omissions which (1) which breached the director’s duty of loyalty to the corporation or its stockholders, (2) which were not in good faith or which involve intentional misconduct or knowing violation of law, (3) under Section 174 of the DGCL; or (4) from which the director derived an improper personal benefit.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obtained directors’ and officers’ insurance to cover our directors and officers for certain liabilities.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160" w:type="dxa"/>
            <w:vAlign w:val="bottom"/>
          </w:tcPr>
          <w:p>
            <w:pPr>
              <w:spacing w:after="0"/>
              <w:rPr>
                <w:sz w:val="18"/>
                <w:szCs w:val="18"/>
                <w:color w:val="auto"/>
              </w:rPr>
            </w:pPr>
          </w:p>
        </w:tc>
      </w:t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0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9"/>
        </w:trPr>
        <w:tc>
          <w:tcPr>
            <w:tcW w:w="1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top w:val="single" w:sz="8" w:color="CCEEFF"/>
            </w:tcBorders>
            <w:shd w:val="clear" w:color="auto" w:fill="CCEEFF"/>
          </w:tcPr>
          <w:p>
            <w:pPr>
              <w:spacing w:after="0"/>
              <w:rPr>
                <w:sz w:val="18"/>
                <w:szCs w:val="18"/>
                <w:color w:val="auto"/>
              </w:rPr>
            </w:pPr>
          </w:p>
        </w:tc>
        <w:tc>
          <w:tcPr>
            <w:tcW w:w="10100" w:type="dxa"/>
            <w:vAlign w:val="bottom"/>
            <w:tcBorders>
              <w:top w:val="single" w:sz="8" w:color="auto"/>
            </w:tcBorders>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5"/>
                <w:szCs w:val="15"/>
                <w:color w:val="auto"/>
              </w:rPr>
            </w:pPr>
          </w:p>
        </w:tc>
        <w:tc>
          <w:tcPr>
            <w:tcW w:w="101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2"/>
            <w:shd w:val="clear" w:color="auto" w:fill="CCEEFF"/>
          </w:tcPr>
          <w:p>
            <w:pPr>
              <w:spacing w:after="0" w:line="17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Specimen Stock Certificate evidencing the shares of common stock (incorporated by reference to Exhibit 4.1 to the Registrant’s annual</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report on Form 10-K (File No. 001-38150) filed on March 3, 2023)</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1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2"/>
          </w:tcPr>
          <w:p>
            <w:pPr>
              <w:spacing w:after="0" w:line="176" w:lineRule="exact"/>
              <w:rPr>
                <w:rFonts w:ascii="Times New Roman" w:cs="Times New Roman" w:eastAsia="Times New Roman" w:hAnsi="Times New Roman"/>
                <w:sz w:val="18"/>
                <w:szCs w:val="18"/>
                <w:color w:val="0000EE"/>
                <w:w w:val="99"/>
              </w:rPr>
            </w:pPr>
            <w:hyperlink r:id="rId75">
              <w:r>
                <w:rPr>
                  <w:rFonts w:ascii="Times New Roman" w:cs="Times New Roman" w:eastAsia="Times New Roman" w:hAnsi="Times New Roman"/>
                  <w:sz w:val="18"/>
                  <w:szCs w:val="18"/>
                  <w:color w:val="0000EE"/>
                  <w:w w:val="99"/>
                </w:rPr>
                <w:t>Form of Series AA Preferred Stock Certificate (incorporated by reference to Exhibit 4.1 to the Registrant’s current report on Form 8-K (File</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2"/>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No. 001-38150) filed on November 25, 2025)</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2"/>
            <w:shd w:val="clear" w:color="auto" w:fill="CCEEFF"/>
          </w:tcPr>
          <w:p>
            <w:pPr>
              <w:spacing w:after="0" w:line="17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Form of Pre-Funded Warrant issued on December 5, 2025 (incorporated by reference to Exhibit 4.1 to the Registrant’s current report on</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Form 8-K (File No. 001-38150) filed on December 5, 2025)</w:t>
              </w:r>
            </w:hyperlink>
          </w:p>
        </w:tc>
      </w:tr>
      <w:tr>
        <w:trPr>
          <w:trHeight w:val="176"/>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top w:val="single" w:sz="8" w:color="CCEEFF"/>
            </w:tcBorders>
          </w:tcPr>
          <w:p>
            <w:pPr>
              <w:spacing w:after="0"/>
              <w:rPr>
                <w:sz w:val="15"/>
                <w:szCs w:val="15"/>
                <w:color w:val="auto"/>
              </w:rPr>
            </w:pPr>
          </w:p>
        </w:tc>
        <w:tc>
          <w:tcPr>
            <w:tcW w:w="4320" w:type="dxa"/>
            <w:vAlign w:val="bottom"/>
            <w:tcBorders>
              <w:top w:val="single" w:sz="8" w:color="0000EE"/>
            </w:tcBorders>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Form of Senior Indenture.</w:t>
            </w:r>
          </w:p>
        </w:tc>
        <w:tc>
          <w:tcPr>
            <w:tcW w:w="5780" w:type="dxa"/>
            <w:vAlign w:val="bottom"/>
            <w:tcBorders>
              <w:top w:val="single" w:sz="8" w:color="CCEEFF"/>
            </w:tcBorders>
            <w:gridSpan w:val="4"/>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bottom w:val="single" w:sz="8" w:color="CCEEFF"/>
            </w:tcBorders>
            <w:shd w:val="clear" w:color="auto" w:fill="CCEEFF"/>
          </w:tcPr>
          <w:p>
            <w:pPr>
              <w:spacing w:after="0"/>
              <w:rPr>
                <w:sz w:val="17"/>
                <w:szCs w:val="17"/>
                <w:color w:val="auto"/>
              </w:rPr>
            </w:pPr>
          </w:p>
        </w:tc>
        <w:tc>
          <w:tcPr>
            <w:tcW w:w="238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Form of Subordinated Indenture.</w:t>
            </w:r>
          </w:p>
        </w:tc>
        <w:tc>
          <w:tcPr>
            <w:tcW w:w="7720" w:type="dxa"/>
            <w:vAlign w:val="bottom"/>
            <w:tcBorders>
              <w:bottom w:val="single" w:sz="8" w:color="CCEEFF"/>
            </w:tcBorders>
            <w:gridSpan w:val="8"/>
            <w:shd w:val="clear" w:color="auto" w:fill="CCEEFF"/>
          </w:tcPr>
          <w:p>
            <w:pPr>
              <w:spacing w:after="0"/>
              <w:rPr>
                <w:sz w:val="17"/>
                <w:szCs w:val="17"/>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8"/>
                <w:szCs w:val="18"/>
                <w:color w:val="auto"/>
              </w:rPr>
            </w:pPr>
          </w:p>
        </w:tc>
        <w:tc>
          <w:tcPr>
            <w:tcW w:w="101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Form of Senior Debt Securities.</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8"/>
                <w:szCs w:val="18"/>
                <w:color w:val="auto"/>
              </w:rPr>
            </w:pPr>
          </w:p>
        </w:tc>
        <w:tc>
          <w:tcPr>
            <w:tcW w:w="1010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Subordinated Debt Securities.</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8"/>
                <w:szCs w:val="18"/>
                <w:color w:val="auto"/>
              </w:rPr>
            </w:pPr>
          </w:p>
        </w:tc>
        <w:tc>
          <w:tcPr>
            <w:tcW w:w="101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Form of Warrant Agreement and Warrant Certificate.</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shd w:val="clear" w:color="auto" w:fill="CCEEFF"/>
          </w:tcPr>
          <w:p>
            <w:pPr>
              <w:spacing w:after="0"/>
              <w:rPr>
                <w:sz w:val="18"/>
                <w:szCs w:val="18"/>
                <w:color w:val="auto"/>
              </w:rPr>
            </w:pPr>
          </w:p>
        </w:tc>
        <w:tc>
          <w:tcPr>
            <w:tcW w:w="1010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Subscription Rights Agreement and Subscription Rights Certificate.</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tcPr>
          <w:p>
            <w:pPr>
              <w:spacing w:after="0"/>
              <w:rPr>
                <w:sz w:val="18"/>
                <w:szCs w:val="18"/>
                <w:color w:val="auto"/>
              </w:rPr>
            </w:pPr>
          </w:p>
        </w:tc>
        <w:tc>
          <w:tcPr>
            <w:tcW w:w="101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Form of Unit Agreement and Unit</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shd w:val="clear" w:color="auto" w:fill="CCEEFF"/>
          </w:tcPr>
          <w:p>
            <w:pPr>
              <w:spacing w:after="0"/>
              <w:rPr>
                <w:sz w:val="18"/>
                <w:szCs w:val="18"/>
                <w:color w:val="auto"/>
              </w:rPr>
            </w:pPr>
          </w:p>
        </w:tc>
        <w:tc>
          <w:tcPr>
            <w:tcW w:w="1010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Certificate of Designations, Rights and Preferences for Preferred Stock</w:t>
            </w: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5"/>
                <w:szCs w:val="15"/>
                <w:color w:val="auto"/>
              </w:rPr>
            </w:pPr>
          </w:p>
        </w:tc>
        <w:tc>
          <w:tcPr>
            <w:tcW w:w="101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Opinion of Haynes and Boone, LLP.</w:t>
            </w: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20" w:type="dxa"/>
            <w:vAlign w:val="bottom"/>
            <w:shd w:val="clear" w:color="auto" w:fill="CCEEFF"/>
          </w:tcPr>
          <w:p>
            <w:pPr>
              <w:spacing w:after="0"/>
              <w:rPr>
                <w:sz w:val="17"/>
                <w:szCs w:val="17"/>
                <w:color w:val="auto"/>
              </w:rPr>
            </w:pPr>
          </w:p>
        </w:tc>
        <w:tc>
          <w:tcPr>
            <w:tcW w:w="1010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HTL International, LLC.</w:t>
            </w:r>
          </w:p>
        </w:tc>
      </w:tr>
      <w:tr>
        <w:trPr>
          <w:trHeight w:val="176"/>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120" w:type="dxa"/>
            <w:vAlign w:val="bottom"/>
            <w:tcBorders>
              <w:top w:val="single" w:sz="8" w:color="CCEEFF"/>
            </w:tcBorders>
          </w:tcPr>
          <w:p>
            <w:pPr>
              <w:spacing w:after="0"/>
              <w:rPr>
                <w:sz w:val="15"/>
                <w:szCs w:val="15"/>
                <w:color w:val="auto"/>
              </w:rPr>
            </w:pPr>
          </w:p>
        </w:tc>
        <w:tc>
          <w:tcPr>
            <w:tcW w:w="262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Consent of Deloitte &amp; Touche LLP.</w:t>
            </w:r>
          </w:p>
        </w:tc>
        <w:tc>
          <w:tcPr>
            <w:tcW w:w="7480" w:type="dxa"/>
            <w:vAlign w:val="bottom"/>
            <w:tcBorders>
              <w:top w:val="single" w:sz="8" w:color="CCEEFF"/>
            </w:tcBorders>
            <w:gridSpan w:val="6"/>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23.3*</w:t>
            </w:r>
          </w:p>
        </w:tc>
        <w:tc>
          <w:tcPr>
            <w:tcW w:w="120" w:type="dxa"/>
            <w:vAlign w:val="bottom"/>
            <w:shd w:val="clear" w:color="auto" w:fill="CCEEFF"/>
          </w:tcPr>
          <w:p>
            <w:pPr>
              <w:spacing w:after="0"/>
              <w:rPr>
                <w:sz w:val="15"/>
                <w:szCs w:val="15"/>
                <w:color w:val="auto"/>
              </w:rPr>
            </w:pPr>
          </w:p>
        </w:tc>
        <w:tc>
          <w:tcPr>
            <w:tcW w:w="1010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Haynes and Boone, LLP (included in the opinion filed as Exhibit 5.1).</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1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24.1*</w:t>
            </w:r>
          </w:p>
        </w:tc>
        <w:tc>
          <w:tcPr>
            <w:tcW w:w="120" w:type="dxa"/>
            <w:vAlign w:val="bottom"/>
          </w:tcPr>
          <w:p>
            <w:pPr>
              <w:spacing w:after="0"/>
              <w:rPr>
                <w:sz w:val="15"/>
                <w:szCs w:val="15"/>
                <w:color w:val="auto"/>
              </w:rPr>
            </w:pPr>
          </w:p>
        </w:tc>
        <w:tc>
          <w:tcPr>
            <w:tcW w:w="101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Power of Attorney (included on the signature page of this Registration Statement).</w:t>
            </w: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shd w:val="clear" w:color="auto" w:fill="CCEEFF"/>
          </w:tcPr>
          <w:p>
            <w:pPr>
              <w:spacing w:after="0"/>
              <w:rPr>
                <w:sz w:val="18"/>
                <w:szCs w:val="18"/>
                <w:color w:val="auto"/>
              </w:rPr>
            </w:pPr>
          </w:p>
        </w:tc>
        <w:tc>
          <w:tcPr>
            <w:tcW w:w="1010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Statement of Trustee Eligibility.</w:t>
            </w: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5"/>
                <w:szCs w:val="15"/>
                <w:color w:val="auto"/>
              </w:rPr>
            </w:pPr>
          </w:p>
        </w:tc>
        <w:tc>
          <w:tcPr>
            <w:tcW w:w="101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Filing Fee Table.</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32" w:lineRule="exact"/>
        <w:rPr>
          <w:sz w:val="20"/>
          <w:szCs w:val="20"/>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5480" w:right="2560" w:hanging="5472"/>
        <w:spacing w:after="0" w:line="636" w:lineRule="auto"/>
        <w:tabs>
          <w:tab w:leader="none" w:pos="32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by amendment or as an exhibit to a report pursuant to Section 13(a), 13(c) or 15(d) of the Exchange Act. 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however, that: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Paragraphs (1)(i), (1)(ii) and (1)(iii) of this section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80" w:lineRule="exact"/>
        <w:rPr>
          <w:sz w:val="20"/>
          <w:szCs w:val="20"/>
          <w:color w:val="auto"/>
        </w:rPr>
      </w:pPr>
    </w:p>
    <w:p>
      <w:pPr>
        <w:jc w:val="both"/>
        <w:ind w:left="660" w:right="20" w:hanging="328"/>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registrant is relying on Rule 430B (§230.430B of this chapter):</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2" w:name="page43"/>
    <w:bookmarkEnd w:id="42"/>
    <w:p>
      <w:pPr>
        <w:jc w:val="both"/>
        <w:ind w:left="968" w:hanging="320"/>
        <w:spacing w:after="0" w:line="253" w:lineRule="auto"/>
        <w:tabs>
          <w:tab w:leader="none" w:pos="968"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 (a)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89" w:lineRule="exact"/>
        <w:rPr>
          <w:rFonts w:ascii="Times New Roman" w:cs="Times New Roman" w:eastAsia="Times New Roman" w:hAnsi="Times New Roman"/>
          <w:sz w:val="18"/>
          <w:szCs w:val="18"/>
          <w:color w:val="auto"/>
        </w:rPr>
      </w:pPr>
    </w:p>
    <w:p>
      <w:pPr>
        <w:jc w:val="both"/>
        <w:ind w:left="648" w:hanging="324"/>
        <w:spacing w:after="0" w:line="255" w:lineRule="auto"/>
        <w:tabs>
          <w:tab w:leader="none" w:pos="64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88" w:lineRule="exact"/>
        <w:rPr>
          <w:rFonts w:ascii="Times New Roman" w:cs="Times New Roman" w:eastAsia="Times New Roman" w:hAnsi="Times New Roman"/>
          <w:sz w:val="18"/>
          <w:szCs w:val="18"/>
          <w:color w:val="auto"/>
        </w:rPr>
      </w:pPr>
    </w:p>
    <w:p>
      <w:pPr>
        <w:jc w:val="both"/>
        <w:ind w:left="328" w:hanging="328"/>
        <w:spacing w:after="0" w:line="258" w:lineRule="auto"/>
        <w:tabs>
          <w:tab w:leader="none" w:pos="32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3"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225" w:lineRule="exact"/>
        <w:rPr>
          <w:rFonts w:ascii="Times New Roman" w:cs="Times New Roman" w:eastAsia="Times New Roman" w:hAnsi="Times New Roman"/>
          <w:sz w:val="18"/>
          <w:szCs w:val="18"/>
          <w:color w:val="auto"/>
        </w:rPr>
      </w:pPr>
    </w:p>
    <w:p>
      <w:pPr>
        <w:ind w:left="648" w:right="20" w:hanging="324"/>
        <w:spacing w:after="0" w:line="282" w:lineRule="auto"/>
        <w:tabs>
          <w:tab w:leader="none" w:pos="64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61" w:lineRule="exact"/>
        <w:rPr>
          <w:rFonts w:ascii="Times New Roman" w:cs="Times New Roman" w:eastAsia="Times New Roman" w:hAnsi="Times New Roman"/>
          <w:sz w:val="18"/>
          <w:szCs w:val="18"/>
          <w:color w:val="auto"/>
        </w:rPr>
      </w:pPr>
    </w:p>
    <w:p>
      <w:pPr>
        <w:ind w:left="648" w:hanging="324"/>
        <w:spacing w:after="0" w:line="282" w:lineRule="auto"/>
        <w:tabs>
          <w:tab w:leader="none" w:pos="64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1"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33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26035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769" w:right="339" w:bottom="1440" w:gutter="0" w:footer="0" w:header="0"/>
        </w:sectPr>
      </w:pPr>
    </w:p>
    <w:bookmarkStart w:id="43" w:name="page44"/>
    <w:bookmarkEnd w:id="43"/>
    <w:p>
      <w:pPr>
        <w:jc w:val="both"/>
        <w:ind w:left="328" w:hanging="328"/>
        <w:spacing w:after="0" w:line="258" w:lineRule="auto"/>
        <w:tabs>
          <w:tab w:leader="none" w:pos="32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Times New Roman" w:cs="Times New Roman" w:eastAsia="Times New Roman" w:hAnsi="Times New Roman"/>
          <w:sz w:val="18"/>
          <w:szCs w:val="18"/>
          <w:color w:val="auto"/>
        </w:rPr>
      </w:pPr>
    </w:p>
    <w:p>
      <w:pPr>
        <w:jc w:val="both"/>
        <w:ind w:left="328" w:hanging="328"/>
        <w:spacing w:after="0" w:line="254" w:lineRule="auto"/>
        <w:tabs>
          <w:tab w:leader="none" w:pos="32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9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w:t>
      </w:r>
    </w:p>
    <w:p>
      <w:pPr>
        <w:spacing w:after="0" w:line="225" w:lineRule="exact"/>
        <w:rPr>
          <w:rFonts w:ascii="Times New Roman" w:cs="Times New Roman" w:eastAsia="Times New Roman" w:hAnsi="Times New Roman"/>
          <w:sz w:val="18"/>
          <w:szCs w:val="18"/>
          <w:color w:val="auto"/>
        </w:rPr>
      </w:pPr>
    </w:p>
    <w:p>
      <w:pPr>
        <w:jc w:val="both"/>
        <w:ind w:left="648" w:hanging="324"/>
        <w:spacing w:after="0" w:line="261" w:lineRule="auto"/>
        <w:tabs>
          <w:tab w:leader="none" w:pos="64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w:t>
      </w:r>
    </w:p>
    <w:p>
      <w:pPr>
        <w:ind w:left="64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or (4) or 497(h) under the Securities Act shall be deemed to be part of this registration statement as of the time it was declared effective.</w:t>
      </w:r>
    </w:p>
    <w:p>
      <w:pPr>
        <w:spacing w:after="0" w:line="206" w:lineRule="exact"/>
        <w:rPr>
          <w:rFonts w:ascii="Times New Roman" w:cs="Times New Roman" w:eastAsia="Times New Roman" w:hAnsi="Times New Roman"/>
          <w:sz w:val="18"/>
          <w:szCs w:val="18"/>
          <w:color w:val="auto"/>
        </w:rPr>
      </w:pPr>
    </w:p>
    <w:p>
      <w:pPr>
        <w:jc w:val="both"/>
        <w:ind w:left="648" w:hanging="324"/>
        <w:spacing w:after="0" w:line="266" w:lineRule="auto"/>
        <w:tabs>
          <w:tab w:leader="none" w:pos="64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file an application for the purpose of determining the eligibility of the trustee to act under subsection (a) of section 310 of the Trust Indenture Act (“Act”) in accordance with the rules and regulations prescribed by the Commission under section 305(b)(2) of the Act.</w:t>
      </w:r>
    </w:p>
    <w:p>
      <w:pPr>
        <w:spacing w:after="0" w:line="284"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26035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769"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Arlington, Massachusetts, on May 7,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KALA BIO, Inc.</w:t>
      </w:r>
    </w:p>
    <w:p>
      <w:pPr>
        <w:spacing w:after="0" w:line="2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Avi Minkowitz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Avi Minkowitz</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person whose signature appears below hereby appoints Avi Minkowitz, his true and lawful attorney-in-fact, with full power of substitution, and with the authority to execute in the name of each such person, any and all amendments (including without limitation, post-effective amendments) to this registration statement on Form S-3, to sign any and all additional registration statements relating to the same offering of securities as this registration statement that are filed pursuant to Rule 462(b) of the Securities Act of 1933, and to file such registration statements with the Securities and Exchange Commission, together with any exhibits thereto and other documents therewith, necessary or advisable to enable the registrant to comply with the Securities Act of 1933, and any rules, regulations and requirements of the Securities and Exchange Commission in respect thereof, which amendments may make such other changes in the registration statement as the aforesaid attorney-in-fact executing the same deems appropriate.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4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20" w:type="dxa"/>
            <w:vAlign w:val="bottom"/>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25"/>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Avi Minkowitz</w:t>
            </w:r>
          </w:p>
        </w:tc>
        <w:tc>
          <w:tcPr>
            <w:tcW w:w="24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Chief Financial Officer and Director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7, 2026</w:t>
            </w:r>
          </w:p>
        </w:tc>
      </w:tr>
      <w:tr>
        <w:trPr>
          <w:trHeight w:val="228"/>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Avi Minkowitz</w:t>
            </w:r>
          </w:p>
        </w:tc>
        <w:tc>
          <w:tcPr>
            <w:tcW w:w="24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 and Principal Financial Officer)</w:t>
            </w:r>
          </w:p>
        </w:tc>
        <w:tc>
          <w:tcPr>
            <w:tcW w:w="1800" w:type="dxa"/>
            <w:vAlign w:val="bottom"/>
          </w:tcPr>
          <w:p>
            <w:pPr>
              <w:spacing w:after="0"/>
              <w:rPr>
                <w:sz w:val="19"/>
                <w:szCs w:val="19"/>
                <w:color w:val="auto"/>
              </w:rPr>
            </w:pPr>
          </w:p>
        </w:tc>
      </w:tr>
      <w:tr>
        <w:trPr>
          <w:trHeight w:val="414"/>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Hillel Posen</w:t>
            </w:r>
          </w:p>
        </w:tc>
        <w:tc>
          <w:tcPr>
            <w:tcW w:w="24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7, 2026</w:t>
            </w:r>
          </w:p>
        </w:tc>
      </w:tr>
      <w:tr>
        <w:trPr>
          <w:trHeight w:val="228"/>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Hillel Posen</w:t>
            </w:r>
          </w:p>
        </w:tc>
        <w:tc>
          <w:tcPr>
            <w:tcW w:w="24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14"/>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Chaim (Dovi) Berger</w:t>
            </w:r>
          </w:p>
        </w:tc>
        <w:tc>
          <w:tcPr>
            <w:tcW w:w="24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7, 2026</w:t>
            </w:r>
          </w:p>
        </w:tc>
      </w:tr>
      <w:tr>
        <w:trPr>
          <w:trHeight w:val="228"/>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Chaim (Dovi) Berger</w:t>
            </w:r>
          </w:p>
        </w:tc>
        <w:tc>
          <w:tcPr>
            <w:tcW w:w="24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14"/>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Yonatan Colman</w:t>
            </w:r>
          </w:p>
        </w:tc>
        <w:tc>
          <w:tcPr>
            <w:tcW w:w="24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7, 2026</w:t>
            </w:r>
          </w:p>
        </w:tc>
      </w:tr>
      <w:tr>
        <w:trPr>
          <w:trHeight w:val="228"/>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Yonatan Colman</w:t>
            </w:r>
          </w:p>
        </w:tc>
        <w:tc>
          <w:tcPr>
            <w:tcW w:w="24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14"/>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Brendan Purdy</w:t>
            </w:r>
          </w:p>
        </w:tc>
        <w:tc>
          <w:tcPr>
            <w:tcW w:w="24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7, 2026</w:t>
            </w:r>
          </w:p>
        </w:tc>
      </w:tr>
      <w:tr>
        <w:trPr>
          <w:trHeight w:val="228"/>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Brendan Purdy</w:t>
            </w:r>
          </w:p>
        </w:tc>
        <w:tc>
          <w:tcPr>
            <w:tcW w:w="24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r>
    </w:tbl>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 REGISTERED UNDER SECTION 12 OF THE EXCHANGE ACT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following description of registered securities of KALA BIO, Inc. (“us,” “our,” “we” or the “Company”) is intended as a summary only and therefore is not a complete description of our capital stock. This description is based upon, and is qualified by reference to, our certificate of incorporation, our bylaws and applicable provisions of the Delaware General Corporate Law (the “DGCL”). You should read our certificate of incorporation and our bylaws, which are incorporated by reference as Exhibit 3.1 and Exhibit 3.2, respectively, to the Annual Report on Form 10-K filed on April 15, 2026 for the provisions that are important to you.</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authorized capital stock consists of 1,500,000,000 shares of common stock, par value $0.001 per share, and 5,000,000 shares of preferred stock, par value $0.001 per share, of which 900,000 shares of preferred stock are designated the “Series AA Convertible Non-Redeemable Preferred Stock”, or the Series AA Preferred Stock. Our common stock is registered under Section 12(b) of the Securities Exchange Act of 1934, as amended, or the Exchange Act. Our Series AA Preferred Stock is not registered under Section 12(b) of the Exchange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Annual Meeting</w:t>
      </w:r>
      <w:r>
        <w:rPr>
          <w:rFonts w:ascii="Times New Roman" w:cs="Times New Roman" w:eastAsia="Times New Roman" w:hAnsi="Times New Roman"/>
          <w:sz w:val="18"/>
          <w:szCs w:val="18"/>
          <w:color w:val="auto"/>
        </w:rPr>
        <w:t>. Annual meetings of our stockholders are held on the date designated in accordance with our by-laws. Written notice must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mailed to each stockholder entitled to vote not less than ten nor more than 60 days before the date of the meeting. The presence in person or by proxy of the holders of one third of the voting power of the shares of the capital stock of the corporation issued and outstanding and entitled to vote at such meeting constitutes a quorum for the transaction of business at meetings of the stockholders. Special meetings of the stockholders may be called for any purpose by the board of directors, the chairman of the board or the chief executive officer. Except as may be otherwise provided by applicable law, our certificate of incorporation or our by-laws, all elections of directors shall be decided by a plurality, and all other questions shall be decided by a majority, of the votes cast by stockholders entitled to vote thereon at a duly held meeting of stockholders at which a quorum is present.</w:t>
      </w:r>
    </w:p>
    <w:p>
      <w:pPr>
        <w:spacing w:after="0" w:line="18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Holders of our common stock are entitled to one vote for each share held on all matters submitted to a vote of stockholders and do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have cumulative voting rights.</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Holders of common stock are entitled to receive proportionately any dividends as may be declared by our board of directors,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preferential dividend rights of outstanding preferred stock.</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Liquidation and Dissolution</w:t>
      </w:r>
      <w:r>
        <w:rPr>
          <w:rFonts w:ascii="Times New Roman" w:cs="Times New Roman" w:eastAsia="Times New Roman" w:hAnsi="Times New Roman"/>
          <w:sz w:val="18"/>
          <w:szCs w:val="18"/>
          <w:color w:val="auto"/>
        </w:rPr>
        <w:t>. In the event of our liquidation or dissolution, the holders of our common stock are entitled to receive proportionately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assets available for distribution to stockholders after the payment of all debts and other liabilities and subject to any preferential rights of any outstanding preferred stock.</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Other Rights</w:t>
      </w:r>
      <w:r>
        <w:rPr>
          <w:rFonts w:ascii="Times New Roman" w:cs="Times New Roman" w:eastAsia="Times New Roman" w:hAnsi="Times New Roman"/>
          <w:sz w:val="18"/>
          <w:szCs w:val="18"/>
          <w:color w:val="auto"/>
        </w:rPr>
        <w:t>. Holders of our common stock have no preemptive, subscription, redemption or conversion rights. The rights, preferences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privileges of holders of our common stock are subject to and may be adversely affected by the rights of the holders of our Series AA Preferred Stock and shares of any series of our preferred stock that we may designate and issue in the future.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authorized to issue “blank check” preferred stock, which may be issued in one or more series upon authorization of our board of directors. Our board of directors is authorized to fix the designations, powers, preferences and the relative, participating, optional or other special rights and any qualifications, limitations and restrictions of the shares of each series of preferred stock. The authorized shares of our preferred stock are available for issuance without further action by our stockholders, unless such action is required by applicable law or the rules of any stock exchange on which our securities may be listed. If the approval of our stockholders is not required for the issuance of shares of our preferred stock, our board may determine not to seek stockholder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6" w:name="page47"/>
    <w:bookmarkEnd w:id="4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series of our preferred stock could, depending on the terms of such series, impede the completion of a merger, tender offer or other takeover attempt. Our board of directors will make any determination to issue preferred shares based upon its judgment as to the best interests of our stockholders. Our directors, in so acting, could issue preferred stock having terms that could discourage an acquisition attempt through which an acquirer may be able to change the composition of our board of directors, including a tender offer or other transaction that some, or a majority, of our stockholders might believe to be in their best interests or in which stockholders might receive a premium for their stock over the then-current market price of the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AA Preferred Stock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Certificate of Designations. Pursuant to our Certificate of Designations, Preferences and Rights of Series AA Convertible Non-Redeemable Preferred Stock, or the Series AA Certificate of Designations, filed with the Secretary of State of the State of Delaware, we designated 900,000 shares of our authorized and unissued preferred stock as Series AA Preferred Stock, and established the rights, preferences and privileges of the Series AA Preferred Stock, which are summarized below.</w:t>
      </w:r>
    </w:p>
    <w:p>
      <w:pPr>
        <w:spacing w:after="0" w:line="17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Conversion</w:t>
      </w:r>
      <w:r>
        <w:rPr>
          <w:rFonts w:ascii="Times New Roman" w:cs="Times New Roman" w:eastAsia="Times New Roman" w:hAnsi="Times New Roman"/>
          <w:sz w:val="18"/>
          <w:szCs w:val="18"/>
          <w:color w:val="auto"/>
        </w:rPr>
        <w:t>. Subject to our stockholders approving each of (A) an increase in the number of authorized shares of common stock to enable us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 all of the shares of common stock issuable upon the conversion of the Series AA Preferred Stock and (B) the conversion of the Series AA Preferred Stock into shares of common stock in accordance with the listing rules of the Nasdaq Stock Market (collectively, the “Stockholder Approvals”), and subject to the filing of an amendment to our certificate of incorporation with the Secretary of State of the State of Delaware evidencing such stockholder approval (the “Charter Amendment”), each share of Series AA Preferred Stock is convertible at the option of the holder, at any time and from time to time after the Stockholder Approvals and the filing of the Charter Amendment, into a number of fully paid and nonassessable shares of our common stock equal to the Stated Value of $2.00 divided by the Conversion Price of $0.03636 (each subject to adjustment as provided in the Series AA Certificate of Designations). The Conversion Price is subject to proportionate adjustment in the event of subdivisions or combinations of our common stock and stock dividends payable in shares of our common stock. In addition, in the event of any reorganization, recapitalization, reclassification, merger or consolidation in which our common stock is converted into or exchanged for other securities, cash or property, provision shall be made so that holders of Series AA Preferred Stock shall thereafter be entitled to receive upon conversion the kind and amount of shares, cash or other property they would have received had they converted immediately prior to such event. Fractional shares of common stock will not be issued upon conversion; instead, we will pay a cash adjustment for any fractional share.</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The shares of Series AA Preferred Stock generally have no voting rights, except as otherwise provided by the DGCL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law. However, so long as any shares of Series AA Preferred Stock are outstanding, we may not, without the approval of the holders of a majority of the then outstanding shares of Series AA Preferred Stock (the “Requisite Holders”): (i) alter, repeal or change the powers, preferences or rights of the Series AA Preferred Stock or alter or amend the Series AA Certificate of Designations so as to adversely affect the Series AA Preferred Stock; (ii) supplement, amend, restate, repeal or waive any provision of our certificate of incorporation or bylaws, or file any certificate of amendment or certificate of designation, if such action would adversely alter or change the preferences, rights, privileges or powers of, or restrictions provided for the benefit of, the Series AA Preferred Stock, regardless of whether any such action shall be by means of amendment to the certificate of incorporation or by merger, consolidation, recapitalization, reclassification, conversion or otherwise; (iii) increase or decrease (other than by conversion) the number of authorized shares of Series AA Preferred Stock; or (iv) enter into any agreement with respect to any of the foregoing. Any provision of the Series AA Certificate of Designations may be waived on behalf of all holders of Series AA Preferred Stock by the affirmative written consent or vote of the Requisite Holders.</w:t>
      </w:r>
    </w:p>
    <w:p>
      <w:pPr>
        <w:spacing w:after="0" w:line="18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Rank</w:t>
      </w:r>
      <w:r>
        <w:rPr>
          <w:rFonts w:ascii="Times New Roman" w:cs="Times New Roman" w:eastAsia="Times New Roman" w:hAnsi="Times New Roman"/>
          <w:sz w:val="18"/>
          <w:szCs w:val="18"/>
          <w:color w:val="auto"/>
        </w:rPr>
        <w:t>. The Series AA Preferred Stock ranks senior to all of our common stock and on parity with any class or series of our capital stock created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future specifically ranking by its terms on parity with the Series AA Preferred Stock (the “Parity Securities”), in each case, as to distributions of assets upon our liquidation, dissolution or winding up, whether voluntarily or involuntarily (each, a “Dissolution”).</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7" w:name="page48"/>
    <w:bookmarkEnd w:id="47"/>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Dissolution</w:t>
      </w:r>
      <w:r>
        <w:rPr>
          <w:rFonts w:ascii="Times New Roman" w:cs="Times New Roman" w:eastAsia="Times New Roman" w:hAnsi="Times New Roman"/>
          <w:sz w:val="18"/>
          <w:szCs w:val="18"/>
          <w:color w:val="auto"/>
        </w:rPr>
        <w:t>. In the event of a Dissolution, each holder of Series AA Preferred Stock shall be entitled to receive, prior and in preference to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distributions to the holders of our common stock and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any distribution to the holders of Parity Securities, an amount per share of Series AA Preferred Stock equal to the greater of (i) the Stated Value of $2.00 (subject to adjustment in the event of any stock dividend, stock split, combination, reorganization, recapitalization, reclassification, or other similar event with respect to the Series AA Preferred Stock), plus any dividends declared but unpaid on such share, or (ii) such amount per share as would have been payable had all shares of Series AA Preferred Stock been converted into our common stock (without regard to any restrictions on conversion) immediately prior to such Dissolution. If, upon any such Dissolution, our assets shall be insufficient to pay the holders of shares of the Series AA Preferred Stock the amount required under the preceding sentence, the holders of Series AA Preferred Stock and the holders of shares of Parity Securities shall share in any distribution of the assets available for distribution in proportion to the respective amounts which would otherwise have been payable in respect of the shares held by them upon such distribution if all amounts payable on or with respect to such shares were paid in full.</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avoidance of any doubt, neither a change in control of the Company, the merger or consolidation of the Company with or into any other entity, nor the sale, lease, exchange or other disposition of all or substantially all of our assets shall, in and of itself, be deemed to constitute a Dissolution.</w:t>
      </w:r>
    </w:p>
    <w:p>
      <w:pPr>
        <w:spacing w:after="0" w:line="16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Shares of Series AA Preferred Stock are entitled to receive dividends on an as-if-converted-to-common-stock basis, in the same 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manner as dividends actually paid on shares of our common stock.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Provisions of Our Certificate of Incorporation and By-laws and Delaware Law That May Have Anti-Takeover Effects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Delaware Law</w:t>
      </w:r>
      <w:r>
        <w:rPr>
          <w:rFonts w:ascii="Times New Roman" w:cs="Times New Roman" w:eastAsia="Times New Roman" w:hAnsi="Times New Roman"/>
          <w:sz w:val="18"/>
          <w:szCs w:val="18"/>
          <w:color w:val="auto"/>
        </w:rPr>
        <w:t>. We are subject to Section 203 of the DGCL. Subject to certain exceptions, Section 203 prevents a publicly held Delaware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from engaging in a “business combination” with any “interested stockholder” for three years following the date that the person became an interested stockholder, unless either the interested stockholder attained such status with the approval of our board of directors, the business combination is approved by our board of directors and stockholders in a prescribed manner or the interested stockholder acquired at least 85% of our outstanding voting stock in the transaction in which it became an interested stockholder.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Staggered Board; Removal of Directors. </w:t>
      </w:r>
      <w:r>
        <w:rPr>
          <w:rFonts w:ascii="Times New Roman" w:cs="Times New Roman" w:eastAsia="Times New Roman" w:hAnsi="Times New Roman"/>
          <w:sz w:val="18"/>
          <w:szCs w:val="18"/>
          <w:color w:val="auto"/>
        </w:rPr>
        <w:t>Our certificate of incorporation and our bylaws divide our board of directors into three classes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staggered three-year terms. In addition, our certificate of incorporation and our bylaws provide that directors may be removed only for cause and only by the affirmative vote of the holders of 75% of our shares of capital stock present in person or by proxy and entitled to vote. Under our certificate of incorporation and bylaws, any vacancy on our board of directors, including a vacancy resulting from an enlargement of our board of directors, may be filled only by vote of a majority of our directors then in office. Furthermore, our certificate of incorporation provides that the authorized number of directors may be changed only by the resolution of our board of directors. The classification of our board of directors and the limitations on the ability of our stockholders to remove directors, change the authorized number of directors and fill vacancies could make it more difficult for a third party to acquire, or discourage a third party from seeking to acquire, control of our company.</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Stockholder Action; Special Meeting of Stockholders; Advance Notice Requirements for Stockholder Proposals and Director Nominations. </w:t>
      </w:r>
      <w:r>
        <w:rPr>
          <w:rFonts w:ascii="Times New Roman" w:cs="Times New Roman" w:eastAsia="Times New Roman" w:hAnsi="Times New Roman"/>
          <w:sz w:val="18"/>
          <w:szCs w:val="18"/>
          <w:color w:val="auto"/>
        </w:rPr>
        <w:t>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certificate of incorporation and our bylaws provide that any action required or permitted to be taken by our stockholders at an annual meeting or special meeting of stockholders may only be taken if it is properly brought before such meeting and may not be taken by written action in lieu of a meeting. Our certificate of incorporation and our bylaws also provide that, except as otherwise required by law, special meetings of the stockholders can only be called by the chairman of our board of directors, our chief executive officer or our board of directors. In addition, our bylaws establish an advance notice procedure for stockholder proposals to be brought before an annual meeting of stockholders, including proposed nominations of candidates for election to our board of directors. Stockholders at an annual meeting may only consider proposals or nominations specified in the notice of meeting</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48" w:name="page49"/>
    <w:bookmarkEnd w:id="48"/>
    <w:p>
      <w:pPr>
        <w:jc w:val="both"/>
        <w:spacing w:after="0" w:line="256" w:lineRule="auto"/>
        <w:rPr>
          <w:sz w:val="20"/>
          <w:szCs w:val="20"/>
          <w:color w:val="auto"/>
        </w:rPr>
      </w:pPr>
      <w:r>
        <w:rPr>
          <w:rFonts w:ascii="Times New Roman" w:cs="Times New Roman" w:eastAsia="Times New Roman" w:hAnsi="Times New Roman"/>
          <w:sz w:val="18"/>
          <w:szCs w:val="18"/>
          <w:color w:val="auto"/>
        </w:rPr>
        <w:t>or brought before the meeting by or at the direction of our board of directors, or by a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until the next stockholder meeting stockholder actions that are favored by the holders of a majority of our outstanding voting securities. These provisions also could discourage a third party from making a tender offer for our common stock because even if the third party acquired a majority of our outstanding voting stock, it would be able to take action as a stockholder, such as electing new directors or approving a merger, only at a duly called stockholders meeting and not by written consent.</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Super-Majority Voting. </w:t>
      </w:r>
      <w:r>
        <w:rPr>
          <w:rFonts w:ascii="Times New Roman" w:cs="Times New Roman" w:eastAsia="Times New Roman" w:hAnsi="Times New Roman"/>
          <w:sz w:val="18"/>
          <w:szCs w:val="18"/>
          <w:color w:val="auto"/>
        </w:rPr>
        <w:t>The DGCL provides generally that the affirmative vote of a majority of the shares entitled to vote on any matter is required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amend a corporation’s certificate of incorporation or bylaws unless a corporation’s certificate of incorporation or bylaws, as the case may be, requires a greater percentage. Our bylaws may be amended or repealed by a majority vote of our board of directors or the affirmative vote of the holders of at least 75% of the votes that all our stockholders would be entitled to cast in any annual election of directors. In addition, the affirmative vote of the holders of at least 75% of the votes that all our stockholders would be entitled to cast in any election of directors is required to amend or repeal or to adopt any provisions inconsistent with any of the provisions of our certificate of incorporation described above.</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Exclusive Forum Selection. </w:t>
      </w:r>
      <w:r>
        <w:rPr>
          <w:rFonts w:ascii="Times New Roman" w:cs="Times New Roman" w:eastAsia="Times New Roman" w:hAnsi="Times New Roman"/>
          <w:sz w:val="18"/>
          <w:szCs w:val="18"/>
          <w:color w:val="auto"/>
        </w:rPr>
        <w:t>Our certificate of incorporation provides that, unless we consent in writing to the selection of an alternative forum,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Court of Chancery of the State of Delaware shall be the sole and exclusive forum for (1) any derivative action or proceeding brought on behalf of our company, (2) any action asserting a claim of breach of a fiduciary duty owed by any of our directors, officers or employees to our company or our stockholders, (3) any action asserting a claim arising pursuant to any provision of the General Corporation Law of the State of Delaware or as to which the General Corporation Law of the State of Delaware confers jurisdiction on the Court of Chancery of the State of Delaware, or (4) any action asserting a claim arising pursuant to any provision of our certificate of incorporation or bylaws (in each case, as they may be amended from time to time) or governed by the internal affairs doctrine. Although our certificate of incorporation contains the choice of forum provision described above, we do not expect this choice of forum provision will apply to suits brought to enforce a duty or liability created by the Securities Act of 1933, as amended, the Exchange Act, or any other claim for which federal courts have exclusive jurisdiction.</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KALA BIO, INC.</w:t>
      </w:r>
    </w:p>
    <w:p>
      <w:pPr>
        <w:spacing w:after="0" w:line="22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Issuer</w:t>
      </w:r>
    </w:p>
    <w:p>
      <w:pPr>
        <w:spacing w:after="0" w:line="225"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4580" w:hanging="203"/>
        <w:spacing w:after="0"/>
        <w:tabs>
          <w:tab w:leader="none" w:pos="45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Trustee</w:t>
      </w:r>
    </w:p>
    <w:p>
      <w:pPr>
        <w:spacing w:after="0" w:line="22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Dated as of [  ]</w:t>
      </w:r>
    </w:p>
    <w:p>
      <w:pPr>
        <w:spacing w:after="0" w:line="22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Senior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920115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398"/>
        </w:trPr>
        <w:tc>
          <w:tcPr>
            <w:tcW w:w="4160" w:type="dxa"/>
            <w:vAlign w:val="bottom"/>
          </w:tcPr>
          <w:p>
            <w:pPr>
              <w:spacing w:after="0"/>
              <w:rPr>
                <w:sz w:val="24"/>
                <w:szCs w:val="24"/>
                <w:color w:val="auto"/>
              </w:rPr>
            </w:pPr>
          </w:p>
        </w:tc>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CROSS-REFERENCE TABLE</w:t>
            </w:r>
            <w:r>
              <w:rPr>
                <w:rFonts w:ascii="Times New Roman" w:cs="Times New Roman" w:eastAsia="Times New Roman" w:hAnsi="Times New Roman"/>
                <w:sz w:val="29"/>
                <w:szCs w:val="29"/>
                <w:b w:val="1"/>
                <w:bCs w:val="1"/>
                <w:color w:val="auto"/>
                <w:vertAlign w:val="superscript"/>
              </w:rPr>
              <w:t>(1)</w:t>
            </w:r>
          </w:p>
        </w:tc>
      </w:tr>
      <w:tr>
        <w:trPr>
          <w:trHeight w:val="287"/>
        </w:trPr>
        <w:tc>
          <w:tcPr>
            <w:tcW w:w="4160" w:type="dxa"/>
            <w:vAlign w:val="bottom"/>
          </w:tcPr>
          <w:p>
            <w:pPr>
              <w:spacing w:after="0"/>
              <w:rPr>
                <w:sz w:val="24"/>
                <w:szCs w:val="24"/>
                <w:color w:val="auto"/>
              </w:rPr>
            </w:pPr>
          </w:p>
        </w:tc>
        <w:tc>
          <w:tcPr>
            <w:tcW w:w="6960" w:type="dxa"/>
            <w:vAlign w:val="bottom"/>
          </w:tcPr>
          <w:p>
            <w:pPr>
              <w:ind w:left="6180"/>
              <w:spacing w:after="0"/>
              <w:rPr>
                <w:sz w:val="20"/>
                <w:szCs w:val="20"/>
                <w:color w:val="auto"/>
              </w:rPr>
            </w:pPr>
            <w:r>
              <w:rPr>
                <w:rFonts w:ascii="Times New Roman" w:cs="Times New Roman" w:eastAsia="Times New Roman" w:hAnsi="Times New Roman"/>
                <w:sz w:val="18"/>
                <w:szCs w:val="18"/>
                <w:b w:val="1"/>
                <w:bCs w:val="1"/>
                <w:color w:val="auto"/>
              </w:rPr>
              <w:t>Section of</w:t>
            </w:r>
          </w:p>
        </w:tc>
      </w:tr>
      <w:tr>
        <w:trPr>
          <w:trHeight w:val="238"/>
        </w:trPr>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of Trust Indenture Act of 1939, as Amended</w:t>
            </w:r>
          </w:p>
        </w:tc>
        <w:tc>
          <w:tcPr>
            <w:tcW w:w="6960" w:type="dxa"/>
            <w:vAlign w:val="bottom"/>
          </w:tcPr>
          <w:p>
            <w:pPr>
              <w:ind w:left="6200"/>
              <w:spacing w:after="0"/>
              <w:rPr>
                <w:sz w:val="20"/>
                <w:szCs w:val="20"/>
                <w:color w:val="auto"/>
              </w:rPr>
            </w:pPr>
            <w:r>
              <w:rPr>
                <w:rFonts w:ascii="Times New Roman" w:cs="Times New Roman" w:eastAsia="Times New Roman" w:hAnsi="Times New Roman"/>
                <w:sz w:val="18"/>
                <w:szCs w:val="18"/>
                <w:b w:val="1"/>
                <w:bCs w:val="1"/>
                <w:color w:val="auto"/>
                <w:w w:val="96"/>
              </w:rPr>
              <w:t>Indenture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45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310(a).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310(b).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310(c).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311(a).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311(b).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311(c).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312(a).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312(b).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312(c).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313(a).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313(b).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313(c).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313(d).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314(a).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314(b).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314(c).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314(d).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314(e).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314(f).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315(a).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315(b).</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315(c).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315(d).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315(e).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316(a).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316(b).</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316(c).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317(a).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317(b).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318(a).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7830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color w:val="auto"/>
        </w:rPr>
        <w:t>7.09</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-6572885</wp:posOffset>
            </wp:positionH>
            <wp:positionV relativeFrom="paragraph">
              <wp:posOffset>5715</wp:posOffset>
            </wp:positionV>
            <wp:extent cx="71323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-6572885</wp:posOffset>
            </wp:positionH>
            <wp:positionV relativeFrom="paragraph">
              <wp:posOffset>24765</wp:posOffset>
            </wp:positionV>
            <wp:extent cx="713232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7.13(a)</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7.13(b)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-6572885</wp:posOffset>
            </wp:positionH>
            <wp:positionV relativeFrom="paragraph">
              <wp:posOffset>13335</wp:posOffset>
            </wp:positionV>
            <wp:extent cx="713232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Inapplicable</w:t>
      </w:r>
    </w:p>
    <w:p>
      <w:pPr>
        <w:spacing w:after="0" w:line="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5.02(a)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-6572885</wp:posOffset>
            </wp:positionH>
            <wp:positionV relativeFrom="paragraph">
              <wp:posOffset>5715</wp:posOffset>
            </wp:positionV>
            <wp:extent cx="713232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60"/>
        <w:spacing w:after="0"/>
        <w:rPr>
          <w:sz w:val="20"/>
          <w:szCs w:val="20"/>
          <w:color w:val="auto"/>
        </w:rPr>
      </w:pPr>
      <w:r>
        <w:rPr>
          <w:rFonts w:ascii="Times New Roman" w:cs="Times New Roman" w:eastAsia="Times New Roman" w:hAnsi="Times New Roman"/>
          <w:sz w:val="17"/>
          <w:szCs w:val="17"/>
          <w:color w:val="auto"/>
        </w:rPr>
        <w:t>5.02(b)</w:t>
      </w:r>
    </w:p>
    <w:p>
      <w:pPr>
        <w:spacing w:after="0" w:line="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5.02(c)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-6572885</wp:posOffset>
            </wp:positionH>
            <wp:positionV relativeFrom="paragraph">
              <wp:posOffset>5715</wp:posOffset>
            </wp:positionV>
            <wp:extent cx="71323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5.04(a)</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5.04(a)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-6572885</wp:posOffset>
            </wp:positionH>
            <wp:positionV relativeFrom="paragraph">
              <wp:posOffset>5715</wp:posOffset>
            </wp:positionV>
            <wp:extent cx="71323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5.04(a)</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5.04(b)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-6572885</wp:posOffset>
            </wp:positionH>
            <wp:positionV relativeFrom="paragraph">
              <wp:posOffset>13335</wp:posOffset>
            </wp:positionV>
            <wp:extent cx="713232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5.04(b)</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-6572885</wp:posOffset>
            </wp:positionH>
            <wp:positionV relativeFrom="paragraph">
              <wp:posOffset>5715</wp:posOffset>
            </wp:positionV>
            <wp:extent cx="713232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7"/>
          <w:szCs w:val="17"/>
          <w:color w:val="auto"/>
        </w:rPr>
        <w:t>Inapplicable</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-6572885</wp:posOffset>
            </wp:positionH>
            <wp:positionV relativeFrom="paragraph">
              <wp:posOffset>5715</wp:posOffset>
            </wp:positionV>
            <wp:extent cx="713232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7"/>
          <w:szCs w:val="17"/>
          <w:color w:val="auto"/>
        </w:rPr>
        <w:t>Inapplicable</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-6572885</wp:posOffset>
            </wp:positionH>
            <wp:positionV relativeFrom="paragraph">
              <wp:posOffset>5715</wp:posOffset>
            </wp:positionV>
            <wp:extent cx="713232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7"/>
          <w:szCs w:val="17"/>
          <w:color w:val="auto"/>
        </w:rPr>
        <w:t>Inapplicable</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7.01(a)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-6572885</wp:posOffset>
            </wp:positionH>
            <wp:positionV relativeFrom="paragraph">
              <wp:posOffset>5715</wp:posOffset>
            </wp:positionV>
            <wp:extent cx="713232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7.02</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-6572885</wp:posOffset>
            </wp:positionH>
            <wp:positionV relativeFrom="paragraph">
              <wp:posOffset>5715</wp:posOffset>
            </wp:positionV>
            <wp:extent cx="713232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7.01</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7.01(b)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-6572885</wp:posOffset>
            </wp:positionH>
            <wp:positionV relativeFrom="paragraph">
              <wp:posOffset>5715</wp:posOffset>
            </wp:positionV>
            <wp:extent cx="713232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7.01(c)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-6572885</wp:posOffset>
            </wp:positionH>
            <wp:positionV relativeFrom="paragraph">
              <wp:posOffset>5715</wp:posOffset>
            </wp:positionV>
            <wp:extent cx="713232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6.06</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-6572885</wp:posOffset>
            </wp:positionH>
            <wp:positionV relativeFrom="paragraph">
              <wp:posOffset>5715</wp:posOffset>
            </wp:positionV>
            <wp:extent cx="713232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6.04</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-6572885</wp:posOffset>
            </wp:positionH>
            <wp:positionV relativeFrom="paragraph">
              <wp:posOffset>5715</wp:posOffset>
            </wp:positionV>
            <wp:extent cx="713232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6.02</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-6572885</wp:posOffset>
            </wp:positionH>
            <wp:positionV relativeFrom="paragraph">
              <wp:posOffset>5715</wp:posOffset>
            </wp:positionV>
            <wp:extent cx="713232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13.08</w:t>
      </w:r>
    </w:p>
    <w:p>
      <w:pPr>
        <w:spacing w:after="0" w:line="200" w:lineRule="exact"/>
        <w:rPr>
          <w:sz w:val="20"/>
          <w:szCs w:val="20"/>
          <w:color w:val="auto"/>
        </w:rPr>
      </w:pPr>
    </w:p>
    <w:p>
      <w:pPr>
        <w:sectPr>
          <w:pgSz w:w="11900" w:h="16838" w:orient="portrait"/>
          <w:cols w:equalWidth="0" w:num="2">
            <w:col w:w="9640" w:space="720"/>
            <w:col w:w="880"/>
          </w:cols>
          <w:pgMar w:left="320" w:top="796" w:right="339" w:bottom="1440" w:gutter="0" w:footer="0" w:header="0"/>
          <w:type w:val="continuous"/>
        </w:sectPr>
      </w:pPr>
    </w:p>
    <w:p>
      <w:pPr>
        <w:spacing w:after="0" w:line="34" w:lineRule="exact"/>
        <w:rPr>
          <w:sz w:val="20"/>
          <w:szCs w:val="20"/>
          <w:color w:val="auto"/>
        </w:rPr>
      </w:pPr>
    </w:p>
    <w:p>
      <w:pPr>
        <w:ind w:left="340" w:hanging="332"/>
        <w:spacing w:after="0" w:line="195" w:lineRule="auto"/>
        <w:tabs>
          <w:tab w:leader="none" w:pos="340" w:val="left"/>
        </w:tabs>
        <w:numPr>
          <w:ilvl w:val="0"/>
          <w:numId w:val="3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This Cross-Reference Table does not constitute part of the Indenture and shall not have any bearing on the interpretation of any of its terms or provisions.</w:t>
      </w: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51" w:name="page52"/>
    <w:bookmarkEnd w:id="51"/>
    <w:tbl>
      <w:tblPr>
        <w:tblLayout w:type="fixed"/>
        <w:tblInd w:w="0" w:type="dxa"/>
        <w:tblCellMar>
          <w:top w:w="0" w:type="dxa"/>
          <w:left w:w="0" w:type="dxa"/>
          <w:bottom w:w="0" w:type="dxa"/>
          <w:right w:w="0" w:type="dxa"/>
        </w:tblCellMar>
      </w:tblPr>
      <w:tr>
        <w:trPr>
          <w:trHeight w:val="398"/>
        </w:trPr>
        <w:tc>
          <w:tcPr>
            <w:tcW w:w="1520" w:type="dxa"/>
            <w:vAlign w:val="bottom"/>
          </w:tcPr>
          <w:p>
            <w:pPr>
              <w:spacing w:after="0"/>
              <w:rPr>
                <w:sz w:val="24"/>
                <w:szCs w:val="24"/>
                <w:color w:val="auto"/>
              </w:rPr>
            </w:pPr>
          </w:p>
        </w:tc>
        <w:tc>
          <w:tcPr>
            <w:tcW w:w="8760" w:type="dxa"/>
            <w:vAlign w:val="bottom"/>
          </w:tcPr>
          <w:p>
            <w:pPr>
              <w:ind w:left="3060"/>
              <w:spacing w:after="0"/>
              <w:rPr>
                <w:sz w:val="20"/>
                <w:szCs w:val="20"/>
                <w:color w:val="auto"/>
              </w:rPr>
            </w:pPr>
            <w:r>
              <w:rPr>
                <w:rFonts w:ascii="Times New Roman" w:cs="Times New Roman" w:eastAsia="Times New Roman" w:hAnsi="Times New Roman"/>
                <w:sz w:val="18"/>
                <w:szCs w:val="18"/>
                <w:b w:val="1"/>
                <w:bCs w:val="1"/>
                <w:color w:val="auto"/>
              </w:rPr>
              <w:t>TABLE OF CONTENTS</w:t>
            </w:r>
            <w:r>
              <w:rPr>
                <w:rFonts w:ascii="Times New Roman" w:cs="Times New Roman" w:eastAsia="Times New Roman" w:hAnsi="Times New Roman"/>
                <w:sz w:val="29"/>
                <w:szCs w:val="29"/>
                <w:b w:val="1"/>
                <w:bCs w:val="1"/>
                <w:color w:val="auto"/>
                <w:vertAlign w:val="superscript"/>
              </w:rPr>
              <w:t>(2)</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1520" w:type="dxa"/>
            <w:vAlign w:val="bottom"/>
          </w:tcPr>
          <w:p>
            <w:pPr>
              <w:spacing w:after="0"/>
              <w:rPr>
                <w:sz w:val="8"/>
                <w:szCs w:val="8"/>
                <w:color w:val="auto"/>
              </w:rPr>
            </w:pPr>
          </w:p>
        </w:tc>
        <w:tc>
          <w:tcPr>
            <w:tcW w:w="87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w:t>
            </w:r>
          </w:p>
        </w:tc>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DEFINITIONS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1.01</w:t>
            </w:r>
          </w:p>
        </w:tc>
        <w:tc>
          <w:tcPr>
            <w:tcW w:w="8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Definitions of Terms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18"/>
                <w:szCs w:val="18"/>
                <w:color w:val="auto"/>
              </w:rPr>
            </w:pPr>
          </w:p>
        </w:tc>
        <w:tc>
          <w:tcPr>
            <w:tcW w:w="87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ARTICLE II</w:t>
            </w:r>
          </w:p>
        </w:tc>
        <w:tc>
          <w:tcPr>
            <w:tcW w:w="8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ISSUE, DESCRIPTION, TERMS, EXECUTION, REGISTRATION AND EXCHANGE OF SECURITIES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2.01</w:t>
            </w:r>
          </w:p>
        </w:tc>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Designation and Terms of Securities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2.02</w:t>
            </w:r>
          </w:p>
        </w:tc>
        <w:tc>
          <w:tcPr>
            <w:tcW w:w="8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of Securities and Trustee’s Certificate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2.03</w:t>
            </w:r>
          </w:p>
        </w:tc>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Denominations: Provisions for Payment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2.04</w:t>
            </w:r>
          </w:p>
        </w:tc>
        <w:tc>
          <w:tcPr>
            <w:tcW w:w="8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Execution and Authentications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2.05</w:t>
            </w:r>
          </w:p>
        </w:tc>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Registration of Transfer and Exchange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2.06</w:t>
            </w:r>
          </w:p>
        </w:tc>
        <w:tc>
          <w:tcPr>
            <w:tcW w:w="8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Temporary Securities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2.07</w:t>
            </w:r>
          </w:p>
        </w:tc>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Mutilated, Destroyed, Lost or Stolen Securities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2.08</w:t>
            </w:r>
          </w:p>
        </w:tc>
        <w:tc>
          <w:tcPr>
            <w:tcW w:w="8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Cancellation</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2.09</w:t>
            </w:r>
          </w:p>
        </w:tc>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Benefits of Indenture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2.10</w:t>
            </w:r>
          </w:p>
        </w:tc>
        <w:tc>
          <w:tcPr>
            <w:tcW w:w="8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Authenticating Agent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2.11</w:t>
            </w:r>
          </w:p>
        </w:tc>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Global Securities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III</w:t>
            </w:r>
          </w:p>
        </w:tc>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REDEMPTION OF SECURITIES AND SINKING FUND PROVISIONS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3.01</w:t>
            </w:r>
          </w:p>
        </w:tc>
        <w:tc>
          <w:tcPr>
            <w:tcW w:w="8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Redemption</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3.02</w:t>
            </w:r>
          </w:p>
        </w:tc>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Notice of Redemption</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3.03</w:t>
            </w:r>
          </w:p>
        </w:tc>
        <w:tc>
          <w:tcPr>
            <w:tcW w:w="8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 Upon Redemption</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3.04</w:t>
            </w:r>
          </w:p>
        </w:tc>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Sinking Fund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3.05</w:t>
            </w:r>
          </w:p>
        </w:tc>
        <w:tc>
          <w:tcPr>
            <w:tcW w:w="8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Satisfaction of Sinking Fund Payments with Securities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3.06</w:t>
            </w:r>
          </w:p>
        </w:tc>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Redemption of Securities for Sinking Fund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IV</w:t>
            </w:r>
          </w:p>
        </w:tc>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COVENANTS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4.01</w:t>
            </w:r>
          </w:p>
        </w:tc>
        <w:tc>
          <w:tcPr>
            <w:tcW w:w="8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 of Principal, Premium and Interest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4.02</w:t>
            </w:r>
          </w:p>
        </w:tc>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Maintenance of Office or Agency</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4.03</w:t>
            </w:r>
          </w:p>
        </w:tc>
        <w:tc>
          <w:tcPr>
            <w:tcW w:w="8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Paying Agents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4.04</w:t>
            </w:r>
          </w:p>
        </w:tc>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Appointment to Fill Vacancy in Office of Trustee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4.05</w:t>
            </w:r>
          </w:p>
        </w:tc>
        <w:tc>
          <w:tcPr>
            <w:tcW w:w="8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Compliance with Consolidation Provisions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18"/>
                <w:szCs w:val="18"/>
                <w:color w:val="auto"/>
              </w:rPr>
            </w:pPr>
          </w:p>
        </w:tc>
        <w:tc>
          <w:tcPr>
            <w:tcW w:w="87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ARTICLE V</w:t>
            </w:r>
          </w:p>
        </w:tc>
        <w:tc>
          <w:tcPr>
            <w:tcW w:w="8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SECURITYHOLDERS’ LISTS AND REPORTS BY THE COMPANY AND THE TRUSTEE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5.01</w:t>
            </w:r>
          </w:p>
        </w:tc>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Company to Furnish Trustee Names and Addresses of Securityholders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5.02</w:t>
            </w:r>
          </w:p>
        </w:tc>
        <w:tc>
          <w:tcPr>
            <w:tcW w:w="8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Preservation of Information; Communications with Securityholders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5.03</w:t>
            </w:r>
          </w:p>
        </w:tc>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Reports by the Company</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5.04</w:t>
            </w:r>
          </w:p>
        </w:tc>
        <w:tc>
          <w:tcPr>
            <w:tcW w:w="8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Reports by the Trustee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18"/>
                <w:szCs w:val="18"/>
                <w:color w:val="auto"/>
              </w:rPr>
            </w:pPr>
          </w:p>
        </w:tc>
        <w:tc>
          <w:tcPr>
            <w:tcW w:w="87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ARTICLE VI</w:t>
            </w:r>
          </w:p>
        </w:tc>
        <w:tc>
          <w:tcPr>
            <w:tcW w:w="8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REMEDIES OF THE TRUSTEE AND SECURITYHOLDERS ON EVENT OF DEFAULT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6.01</w:t>
            </w:r>
          </w:p>
        </w:tc>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Events of Default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6.02</w:t>
            </w:r>
          </w:p>
        </w:tc>
        <w:tc>
          <w:tcPr>
            <w:tcW w:w="8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Collection of Indebtedness and Suits for Enforcement by Trustee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6.03</w:t>
            </w:r>
          </w:p>
        </w:tc>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Application of Moneys Collected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6.04</w:t>
            </w:r>
          </w:p>
        </w:tc>
        <w:tc>
          <w:tcPr>
            <w:tcW w:w="8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Limitation on Suits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6.05</w:t>
            </w:r>
          </w:p>
        </w:tc>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Rights and Remedies Cumulative; Delay or Omission Not Waiver</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6.06</w:t>
            </w:r>
          </w:p>
        </w:tc>
        <w:tc>
          <w:tcPr>
            <w:tcW w:w="8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Control by Securityholders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6.07</w:t>
            </w:r>
          </w:p>
        </w:tc>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Undertaking to Pay Costs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16"/>
        </w:trPr>
        <w:tc>
          <w:tcPr>
            <w:tcW w:w="1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VII</w:t>
            </w:r>
          </w:p>
        </w:tc>
        <w:tc>
          <w:tcPr>
            <w:tcW w:w="8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CONCERNING THE TRUSTEE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SECTION</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7.01</w:t>
            </w:r>
          </w:p>
        </w:tc>
        <w:tc>
          <w:tcPr>
            <w:tcW w:w="8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Certain Duties and Responsibilities of Trustee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SECTION</w:t>
            </w: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7.02</w:t>
            </w:r>
          </w:p>
        </w:tc>
        <w:tc>
          <w:tcPr>
            <w:tcW w:w="8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Certain Rights of Trustee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SECTION</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7.03</w:t>
            </w:r>
          </w:p>
        </w:tc>
        <w:tc>
          <w:tcPr>
            <w:tcW w:w="8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Trustee Not Responsible for Recitals or Issuance of Securities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SECTION</w:t>
            </w: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7.04</w:t>
            </w:r>
          </w:p>
        </w:tc>
        <w:tc>
          <w:tcPr>
            <w:tcW w:w="8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May Hold Securities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SECTION</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7.05</w:t>
            </w:r>
          </w:p>
        </w:tc>
        <w:tc>
          <w:tcPr>
            <w:tcW w:w="8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Moneys Held in Trust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SECTION</w:t>
            </w: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7.06</w:t>
            </w:r>
          </w:p>
        </w:tc>
        <w:tc>
          <w:tcPr>
            <w:tcW w:w="8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Compensation and Reimbursement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SECTION</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7.07</w:t>
            </w:r>
          </w:p>
        </w:tc>
        <w:tc>
          <w:tcPr>
            <w:tcW w:w="8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Reliance on Officers’ Certificate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SECTION</w:t>
            </w: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7.08</w:t>
            </w:r>
          </w:p>
        </w:tc>
        <w:tc>
          <w:tcPr>
            <w:tcW w:w="8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Disqualification; Conflicting Interests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SECTION</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7.09</w:t>
            </w:r>
          </w:p>
        </w:tc>
        <w:tc>
          <w:tcPr>
            <w:tcW w:w="8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Corporate Trustee Required; Eligibility</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SECTION</w:t>
            </w: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7.10</w:t>
            </w:r>
          </w:p>
        </w:tc>
        <w:tc>
          <w:tcPr>
            <w:tcW w:w="8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Resignation and Removal; Appointment of Successor</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SECTION</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7.11</w:t>
            </w:r>
          </w:p>
        </w:tc>
        <w:tc>
          <w:tcPr>
            <w:tcW w:w="8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Acceptance of Appointment By Successor</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SECTION</w:t>
            </w: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7.12</w:t>
            </w:r>
          </w:p>
        </w:tc>
        <w:tc>
          <w:tcPr>
            <w:tcW w:w="8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Merger, Conversion, Consolidation or Succession to Business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SECTION</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7.13</w:t>
            </w:r>
          </w:p>
        </w:tc>
        <w:tc>
          <w:tcPr>
            <w:tcW w:w="8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Preferential Collection of Claims Against the Company</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gridSpan w:val="2"/>
            <w:shd w:val="clear" w:color="auto" w:fill="CCEEFF"/>
          </w:tcPr>
          <w:p>
            <w:pPr>
              <w:spacing w:after="0"/>
              <w:rPr>
                <w:sz w:val="18"/>
                <w:szCs w:val="18"/>
                <w:color w:val="auto"/>
              </w:rPr>
            </w:pPr>
          </w:p>
        </w:tc>
        <w:tc>
          <w:tcPr>
            <w:tcW w:w="8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gridSpan w:val="2"/>
          </w:tcPr>
          <w:p>
            <w:pPr>
              <w:jc w:val="center"/>
              <w:ind w:right="430"/>
              <w:spacing w:after="0"/>
              <w:rPr>
                <w:sz w:val="20"/>
                <w:szCs w:val="20"/>
                <w:color w:val="auto"/>
              </w:rPr>
            </w:pPr>
            <w:r>
              <w:rPr>
                <w:rFonts w:ascii="Times New Roman" w:cs="Times New Roman" w:eastAsia="Times New Roman" w:hAnsi="Times New Roman"/>
                <w:sz w:val="18"/>
                <w:szCs w:val="18"/>
                <w:color w:val="auto"/>
              </w:rPr>
              <w:t>ARTICLE VIII</w:t>
            </w:r>
          </w:p>
        </w:tc>
        <w:tc>
          <w:tcPr>
            <w:tcW w:w="8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CONCERNING THE SECURITYHOLDERS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SECTION</w:t>
            </w: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8.01</w:t>
            </w:r>
          </w:p>
        </w:tc>
        <w:tc>
          <w:tcPr>
            <w:tcW w:w="8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Evidence of Action by Securityholders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SECTION</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8.02</w:t>
            </w:r>
          </w:p>
        </w:tc>
        <w:tc>
          <w:tcPr>
            <w:tcW w:w="8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Proof of Execution by Securityholders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SECTION</w:t>
            </w: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8.03</w:t>
            </w:r>
          </w:p>
        </w:tc>
        <w:tc>
          <w:tcPr>
            <w:tcW w:w="8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Who May be Deemed Owners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SECTION</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8.04</w:t>
            </w:r>
          </w:p>
        </w:tc>
        <w:tc>
          <w:tcPr>
            <w:tcW w:w="8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Certain Securities Owned by Company Disregarded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SECTION</w:t>
            </w: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8.05</w:t>
            </w:r>
          </w:p>
        </w:tc>
        <w:tc>
          <w:tcPr>
            <w:tcW w:w="8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Actions Binding on Future Securityholders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SECTION</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8.06</w:t>
            </w:r>
          </w:p>
        </w:tc>
        <w:tc>
          <w:tcPr>
            <w:tcW w:w="8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Purposes for Which Meetings May Be Called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SECTION</w:t>
            </w: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8.07</w:t>
            </w:r>
          </w:p>
        </w:tc>
        <w:tc>
          <w:tcPr>
            <w:tcW w:w="8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Call Notice and Place of Meetings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SECTION</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8.08</w:t>
            </w:r>
          </w:p>
        </w:tc>
        <w:tc>
          <w:tcPr>
            <w:tcW w:w="8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Persons Entitled To Vote at Meetings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SECTION</w:t>
            </w: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8.09</w:t>
            </w:r>
          </w:p>
        </w:tc>
        <w:tc>
          <w:tcPr>
            <w:tcW w:w="8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Quorum; Action</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SECTION</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8.10</w:t>
            </w:r>
          </w:p>
        </w:tc>
        <w:tc>
          <w:tcPr>
            <w:tcW w:w="8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Determination of Voting Rights; Conduct and Adjournment of Meetings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SECTION</w:t>
            </w: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8.11</w:t>
            </w:r>
          </w:p>
        </w:tc>
        <w:tc>
          <w:tcPr>
            <w:tcW w:w="8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Counting Votes and Recording Action of Meetings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gridSpan w:val="2"/>
          </w:tcPr>
          <w:p>
            <w:pPr>
              <w:spacing w:after="0"/>
              <w:rPr>
                <w:sz w:val="18"/>
                <w:szCs w:val="18"/>
                <w:color w:val="auto"/>
              </w:rPr>
            </w:pPr>
          </w:p>
        </w:tc>
        <w:tc>
          <w:tcPr>
            <w:tcW w:w="8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IX</w:t>
            </w:r>
          </w:p>
        </w:tc>
        <w:tc>
          <w:tcPr>
            <w:tcW w:w="8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SUPPLEMENTAL INDENTURES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SECTION</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9.01</w:t>
            </w:r>
          </w:p>
        </w:tc>
        <w:tc>
          <w:tcPr>
            <w:tcW w:w="8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Supplemental Indentures Without the Consent of Securityholders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SECTION</w:t>
            </w: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9.02</w:t>
            </w:r>
          </w:p>
        </w:tc>
        <w:tc>
          <w:tcPr>
            <w:tcW w:w="8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Supplemental Indentures With Consent of Securityholders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SECTION</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9.03</w:t>
            </w:r>
          </w:p>
        </w:tc>
        <w:tc>
          <w:tcPr>
            <w:tcW w:w="8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Effect of Supplemental Indentures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SECTION</w:t>
            </w: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9.04</w:t>
            </w:r>
          </w:p>
        </w:tc>
        <w:tc>
          <w:tcPr>
            <w:tcW w:w="8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Securities Affected by Supplemental Indentures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SECTION</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9.05</w:t>
            </w:r>
          </w:p>
        </w:tc>
        <w:tc>
          <w:tcPr>
            <w:tcW w:w="8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Execution of Supplemental Indentures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ARTICLE X</w:t>
            </w:r>
          </w:p>
        </w:tc>
        <w:tc>
          <w:tcPr>
            <w:tcW w:w="680" w:type="dxa"/>
            <w:vAlign w:val="bottom"/>
          </w:tcPr>
          <w:p>
            <w:pPr>
              <w:spacing w:after="0"/>
              <w:rPr>
                <w:sz w:val="18"/>
                <w:szCs w:val="18"/>
                <w:color w:val="auto"/>
              </w:rPr>
            </w:pPr>
          </w:p>
        </w:tc>
        <w:tc>
          <w:tcPr>
            <w:tcW w:w="8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SUCCESSOR ENTITY</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SECTION</w:t>
            </w: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10.01</w:t>
            </w:r>
          </w:p>
        </w:tc>
        <w:tc>
          <w:tcPr>
            <w:tcW w:w="8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Company May Consolidate, Etc</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SECTION</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10.02</w:t>
            </w:r>
          </w:p>
        </w:tc>
        <w:tc>
          <w:tcPr>
            <w:tcW w:w="8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Successor Entity Substituted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SECTION</w:t>
            </w: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10.03</w:t>
            </w:r>
          </w:p>
        </w:tc>
        <w:tc>
          <w:tcPr>
            <w:tcW w:w="8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Evidence of Consolidation, Etc. to Trustee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gridSpan w:val="2"/>
          </w:tcPr>
          <w:p>
            <w:pPr>
              <w:spacing w:after="0"/>
              <w:rPr>
                <w:sz w:val="18"/>
                <w:szCs w:val="18"/>
                <w:color w:val="auto"/>
              </w:rPr>
            </w:pPr>
          </w:p>
        </w:tc>
        <w:tc>
          <w:tcPr>
            <w:tcW w:w="8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XI</w:t>
            </w:r>
          </w:p>
        </w:tc>
        <w:tc>
          <w:tcPr>
            <w:tcW w:w="8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SATISFACTION AND DISCHARGE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SECTION</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11.01</w:t>
            </w:r>
          </w:p>
        </w:tc>
        <w:tc>
          <w:tcPr>
            <w:tcW w:w="8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Satisfaction and Discharge of Indenture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SECTION</w:t>
            </w: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11.02</w:t>
            </w:r>
          </w:p>
        </w:tc>
        <w:tc>
          <w:tcPr>
            <w:tcW w:w="8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Discharge of Obligations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SECTION</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11.03</w:t>
            </w:r>
          </w:p>
        </w:tc>
        <w:tc>
          <w:tcPr>
            <w:tcW w:w="8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Deposited Moneys to be Held in Trust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SECTION</w:t>
            </w: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11.04</w:t>
            </w:r>
          </w:p>
        </w:tc>
        <w:tc>
          <w:tcPr>
            <w:tcW w:w="8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Payment of Moneys Held by Paying Agents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SECTION</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11.05</w:t>
            </w:r>
          </w:p>
        </w:tc>
        <w:tc>
          <w:tcPr>
            <w:tcW w:w="8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Repayment to Company</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gridSpan w:val="2"/>
            <w:shd w:val="clear" w:color="auto" w:fill="CCEEFF"/>
          </w:tcPr>
          <w:p>
            <w:pPr>
              <w:spacing w:after="0"/>
              <w:rPr>
                <w:sz w:val="18"/>
                <w:szCs w:val="18"/>
                <w:color w:val="auto"/>
              </w:rPr>
            </w:pPr>
          </w:p>
        </w:tc>
        <w:tc>
          <w:tcPr>
            <w:tcW w:w="8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ARTICLE XII</w:t>
            </w:r>
          </w:p>
        </w:tc>
        <w:tc>
          <w:tcPr>
            <w:tcW w:w="8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IMMUNITY OF INCORPORATORS, STOCKHOLDERS, OFFICERS AND DIRECTORS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SECTION</w:t>
            </w: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12.01</w:t>
            </w:r>
          </w:p>
        </w:tc>
        <w:tc>
          <w:tcPr>
            <w:tcW w:w="8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No Recourse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16"/>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XIII</w:t>
            </w:r>
          </w:p>
        </w:tc>
        <w:tc>
          <w:tcPr>
            <w:tcW w:w="6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MISCELLANEOUS PROVISIONS</w:t>
            </w:r>
          </w:p>
        </w:tc>
        <w:tc>
          <w:tcPr>
            <w:tcW w:w="3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13.01</w:t>
            </w:r>
          </w:p>
        </w:tc>
        <w:tc>
          <w:tcPr>
            <w:tcW w:w="6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Effect on Successors and Assigns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13.02</w:t>
            </w:r>
          </w:p>
        </w:tc>
        <w:tc>
          <w:tcPr>
            <w:tcW w:w="6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Actions by Successor</w:t>
            </w:r>
          </w:p>
        </w:tc>
        <w:tc>
          <w:tcPr>
            <w:tcW w:w="3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13.03</w:t>
            </w:r>
          </w:p>
        </w:tc>
        <w:tc>
          <w:tcPr>
            <w:tcW w:w="6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Surrender of Company Powers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13.04</w:t>
            </w:r>
          </w:p>
        </w:tc>
        <w:tc>
          <w:tcPr>
            <w:tcW w:w="6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Notices</w:t>
            </w:r>
          </w:p>
        </w:tc>
        <w:tc>
          <w:tcPr>
            <w:tcW w:w="3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13.05</w:t>
            </w:r>
          </w:p>
        </w:tc>
        <w:tc>
          <w:tcPr>
            <w:tcW w:w="6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Governing Law</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13.06</w:t>
            </w:r>
          </w:p>
        </w:tc>
        <w:tc>
          <w:tcPr>
            <w:tcW w:w="6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Treatment of Securities as Debt</w:t>
            </w:r>
          </w:p>
        </w:tc>
        <w:tc>
          <w:tcPr>
            <w:tcW w:w="3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13.07</w:t>
            </w:r>
          </w:p>
        </w:tc>
        <w:tc>
          <w:tcPr>
            <w:tcW w:w="6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Compliance Certificates and Opinions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13.08</w:t>
            </w:r>
          </w:p>
        </w:tc>
        <w:tc>
          <w:tcPr>
            <w:tcW w:w="6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Payments on Business Days</w:t>
            </w:r>
          </w:p>
        </w:tc>
        <w:tc>
          <w:tcPr>
            <w:tcW w:w="3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13.09</w:t>
            </w:r>
          </w:p>
        </w:tc>
        <w:tc>
          <w:tcPr>
            <w:tcW w:w="6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Conflict with Trust Indenture Act</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13.10</w:t>
            </w:r>
          </w:p>
        </w:tc>
        <w:tc>
          <w:tcPr>
            <w:tcW w:w="6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Counterparts</w:t>
            </w:r>
          </w:p>
        </w:tc>
        <w:tc>
          <w:tcPr>
            <w:tcW w:w="3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13.11</w:t>
            </w:r>
          </w:p>
        </w:tc>
        <w:tc>
          <w:tcPr>
            <w:tcW w:w="6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Separability</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13.12</w:t>
            </w:r>
          </w:p>
        </w:tc>
        <w:tc>
          <w:tcPr>
            <w:tcW w:w="6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Assignment</w:t>
            </w:r>
          </w:p>
        </w:tc>
        <w:tc>
          <w:tcPr>
            <w:tcW w:w="3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94" w:lineRule="exact"/>
        <w:rPr>
          <w:sz w:val="20"/>
          <w:szCs w:val="20"/>
          <w:color w:val="auto"/>
        </w:rPr>
      </w:pPr>
    </w:p>
    <w:p>
      <w:pPr>
        <w:ind w:left="340" w:hanging="332"/>
        <w:spacing w:after="0"/>
        <w:tabs>
          <w:tab w:leader="none" w:pos="340" w:val="left"/>
        </w:tabs>
        <w:numPr>
          <w:ilvl w:val="0"/>
          <w:numId w:val="3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This Table of Contents does not constitute part of the Indenture and shall not have any bearing on the interpretation of any of its terms and provisions.</w:t>
      </w:r>
    </w:p>
    <w:p>
      <w:pPr>
        <w:spacing w:after="0" w:line="346" w:lineRule="exact"/>
        <w:rPr>
          <w:rFonts w:ascii="Times New Roman" w:cs="Times New Roman" w:eastAsia="Times New Roman" w:hAnsi="Times New Roman"/>
          <w:sz w:val="30"/>
          <w:szCs w:val="30"/>
          <w:color w:val="auto"/>
          <w:vertAlign w:val="superscript"/>
        </w:rPr>
      </w:pPr>
    </w:p>
    <w:p>
      <w:pPr>
        <w:ind w:left="5560"/>
        <w:spacing w:after="0"/>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auto"/>
        </w:rPr>
        <w:t>INDENTURE, dated as of [  ], by and between KALA BIO, Inc., a Delaware corporation (the “Company”), and [  ], as trustee (the “Trustee”):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WHEREAS, for its lawful corporate purposes, the Company has duly authorized the execution and delivery of this Indenture to provide for the issuance of debt securities (hereinafter referred to as the “Securities”), in an unlimited aggregate principal amount to be issued from time to time in one or more series as in this Indenture provided, as registered Securities without coupons, to be authenticated by the certificate of the Trustee;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WHEREAS, to provide the terms and conditions upon which the Securities are to be authenticated, issued and delivered, the Company has duly authorized the execution of this Indenture; and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 all things necessary to make this Indenture a valid agreement of the Company, in accordance with its terms, have been done.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purchase of the Securities by the holders thereof, it is mutually covenanted and agreed as follows for the equal and ratable benefit of the holders of Securities: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1.01 Definitions of Terms.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terms defined in this Section (except as in this Indenture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otherwise expressly provided or unless the context otherwise requires), shall have the meanings assigned to such terms in said Trust Indenture Act and in said Securities Act as in force at the date of the execution of this instrument.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“Authenticating Agent” means an authenticating agent with respect to all or any of the series of Securities appointed with respect to all or any series of the Securities by the Trustee pursuant to Section 2.10.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“Bankruptcy Law” means Title 11, U.S. Code, or any similar federal or state law for the relief of debtors.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means the Board of Directors of the Company or any duly authorized committee of such Board.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“Board Resolution” means a copy of a resolution certified by the Secretary or an Assistant Secretary of the Company to have been duly adopted by the Board of Directors and to be in full force and effect on the date of such certification.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“Business Day” means, with respect to any series of Securities, any day other than a day on which Federal or State banking institutions in the Borough of Manhattan, the City and State of New York, are authorized or obligated by law, executive order or regulation to close.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means a certificate signed by the principal executive officer, the principal financial officer or the principal accounting officer of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Certificate need not comply with the provisions of Section 13.07.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 means the Securities and Exchange Commission.</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“Company” means the corporation named as the “Company” in the first paragraph of this instrument until a successor corporation shall have become such pursuant to the applicable provisions of this Indenture, and thereafter “Company” shall mean such successor corporation.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5" w:name="page56"/>
    <w:bookmarkEnd w:id="55"/>
    <w:p>
      <w:pPr>
        <w:jc w:val="both"/>
        <w:spacing w:after="0" w:line="266" w:lineRule="auto"/>
        <w:rPr>
          <w:sz w:val="20"/>
          <w:szCs w:val="20"/>
          <w:color w:val="auto"/>
        </w:rPr>
      </w:pPr>
      <w:r>
        <w:rPr>
          <w:rFonts w:ascii="Times New Roman" w:cs="Times New Roman" w:eastAsia="Times New Roman" w:hAnsi="Times New Roman"/>
          <w:sz w:val="18"/>
          <w:szCs w:val="18"/>
          <w:color w:val="auto"/>
        </w:rPr>
        <w:t>“Corporate Trust Office” means the office of the Trustee at which, at any particular time, its corporate trust business shall be principally administered, which office at the date hereof is located at [ ], except that whenever a provision herein refers to an office or agency of the Trustee in the Borough of Manhattan, the City and State of New York, such office is located, at the date hereof, at [ ].</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“Custodian” means any receiver, trustee, assignee, liquidator, or similar official under any Bankruptcy Law.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“Default” means an event which is, or after notice or lapse of time, or both, would constitute an Event of Default.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“Depositary” means, with respect to Securities of any series, for which the Company shall determine that such Securities will be issued as a Global Security, The Depository Trust Company, New York, New York, another clearing agency, or any successor registered as a clearing agency under the Exchange Act, or other applicable statute or regulation, which, in each case, shall be designated by the Company pursuant to either Section 2.01 or Section 2.11.</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“Event of Default” means, with respect to Securities of a particular series, any event specified in Section 6.01, continued for the period of time, if any, therein designated.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Act” means the Securities Exchange Act of 1934, as amended.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“Global Security” means, with respect to any series of Securities, a Security executed by the Company and delivered by the Trustee to the Depositary or pursuant to the Depositary’s instruction, all in accordance with this Indenture, which shall be registered in the name of the Depositary or its nominee.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“Governmental Obligations” means securities that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that, in either case, are non-callable at the option of the issuer thereof, and shall also include a depositary receipt issued by a bank (as defined in Section 3(a)(2) of the Securities Act of 1933, as amended)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“herein,” “hereof” and “hereunder,” and other words of similar import, refer to this Indenture as a whole and not to any particular Article, Section or other subdivision.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“Indenture” means this instrument as originally executed or as it may from time to time be supplemented or amended by one or more indentures supplemental hereto entered into in accordance with the terms hereof.</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Payment Date,”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“Officers’ Certificate” means a certificate signed by the President or a Vice President and by the Chief Financial Officer, Vice President of Finance, the Treasurer or an Assistant Treasurer or the Controller or an Assistant Controller or the Secretary or an Assistant Secretary of the Company that is delivered to the Trustee in accordance with the terms hereof. Certificate shall include the statements provided for in Section 13.07, if and to the extent required by the provisions thereof.</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6" w:name="page57"/>
    <w:bookmarkEnd w:id="56"/>
    <w:p>
      <w:pPr>
        <w:jc w:val="both"/>
        <w:spacing w:after="0" w:line="282" w:lineRule="auto"/>
        <w:rPr>
          <w:sz w:val="20"/>
          <w:szCs w:val="20"/>
          <w:color w:val="auto"/>
        </w:rPr>
      </w:pPr>
      <w:r>
        <w:rPr>
          <w:rFonts w:ascii="Times New Roman" w:cs="Times New Roman" w:eastAsia="Times New Roman" w:hAnsi="Times New Roman"/>
          <w:sz w:val="18"/>
          <w:szCs w:val="18"/>
          <w:color w:val="auto"/>
        </w:rPr>
        <w:t>“Opinion of Counsel” means a written opinion of counsel, who may be counsel to the Company (and may include directors or employees of the Company) and which opinion is acceptable to the Trustee which acceptance shall not be unreasonably withheld.</w:t>
      </w:r>
    </w:p>
    <w:p>
      <w:pPr>
        <w:spacing w:after="0" w:line="16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“Outstanding”, when used with reference to Securities of any series, means, subject to the provisions of Section 8.04,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in Article III provided, or provision satisfactory to the Trustee shall have been made for giving such notice; and (c) Securities in lieu of or in substitution for which other Securities shall have been authenticated and delivered pursuant to the terms of Section 2.07.</w:t>
      </w:r>
    </w:p>
    <w:p>
      <w:pPr>
        <w:spacing w:after="0" w:line="1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“Person” means any individual, corporation, limited liability company, partnership, joint-venture, association, joint-stock company, trust, estate, unincorporated organization or government or any agency or political subdivision thereof.</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“Predecessor Security” of any particular Security means every previous Security evidencing all or a portion of the same debt as that evidenced by such particular Security; and, for the purposes of this definition, any Security authenticated and delivered under Section 2.07 in lieu of a mutilated, destroyed, lost or stolen Security shall be deemed to evidence the same debt as the mutilated, destroyed, lost or stolen Security.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“Responsible Officer,” when used with respect to the Trustee, means any officer of the Trustee, including any vice president, assistant vice president, secretary, assistant secretary, the treasurer, any assistant treasurer, the managing director or any other officer of the Trustee customarily performing functions similar to those performed by any of the above designated officers and also means, with respect to a particular corporate trust matter, any other officer to whom such matter is referred because of such officer’s knowledge of and familiarity with the particular subject.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means the debt Securities authenticated and delivered under this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Register” has the meaning specified in Section 2.05.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Registrar” has the meaning specified in Section 2.05.</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“Securityholder,” “holder of Securities,” “registered holder,” or other similar term, means the Person or Persons in whose name or names a particular Security shall be registered in the Security Register.</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“Subsidiary” means, with respect to any Person, (i) any corporation at least a majority of whose outstanding Voting Stock shall at the time be owned, directly or indirectly, by such Person or by one or more of its Subsidiaries or by such Person and one or more of its Subsidiaries, (ii) any general partnership, joint venture or similar entity, at least a majority of whose outstanding partnership or similar interests shall at the time be owned by such Person, or by one or more of its Subsidiaries, or by such Person and one or more of its Subsidiaries and (iii) any limited partnership of which such Person or any of its Subsidiaries is a general partner.</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“Trustee” means the Person named as the “Trustee” in the first paragraph of this instrument until a successor Trustee shall have become such pursuant to the applicable provisions of this Indenture, and thereafter “Trustee” shall mean such successor Trustee. The term “Trustee” as used with respect to a particular series of the Securities shall mean the trustee with respect to that series.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7" w:name="page58"/>
    <w:bookmarkEnd w:id="57"/>
    <w:p>
      <w:pPr>
        <w:jc w:val="both"/>
        <w:spacing w:after="0" w:line="266" w:lineRule="auto"/>
        <w:rPr>
          <w:sz w:val="20"/>
          <w:szCs w:val="20"/>
          <w:color w:val="auto"/>
        </w:rPr>
      </w:pPr>
      <w:r>
        <w:rPr>
          <w:rFonts w:ascii="Times New Roman" w:cs="Times New Roman" w:eastAsia="Times New Roman" w:hAnsi="Times New Roman"/>
          <w:sz w:val="18"/>
          <w:szCs w:val="18"/>
          <w:color w:val="auto"/>
        </w:rPr>
        <w:t>“Trust Indenture Act” means the Trust Indenture Act of 1939, as amended, subject to the provisions of Sections 9.01, 9.02, and 10.01, as in effect at the date of execution of this instrument; provided, however, that in the event the Trust Indenture Act is amended after such date, Trust Indenture Act means, to the extent required by such amendment, the Trust Indenture Act of 1939, as so amended, or any successor statute.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“Voting Stock,” as applied to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ISSUE, DESCRIPTION, TERMS, EXECUTION,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REGISTRATION AND EXCHANGE OF SECURITIES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2.01 Designation and Terms of Securities.</w:t>
      </w:r>
    </w:p>
    <w:p>
      <w:pPr>
        <w:spacing w:after="0" w:line="225" w:lineRule="exact"/>
        <w:rPr>
          <w:sz w:val="20"/>
          <w:szCs w:val="20"/>
          <w:color w:val="auto"/>
        </w:rPr>
      </w:pPr>
    </w:p>
    <w:p>
      <w:pPr>
        <w:jc w:val="both"/>
        <w:ind w:left="460" w:hanging="452"/>
        <w:spacing w:after="0" w:line="258" w:lineRule="auto"/>
        <w:tabs>
          <w:tab w:leader="none" w:pos="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of the Company or pursuant to one or more indentures supplemental hereto. Prior to the initial issuance of Securities of a given series, there shall be established in or pursuant to a Board Resolution of the Company, and set forth in an Officers’ Certificate of the Company, or established in one or more indentures supplemental hereto:</w:t>
      </w:r>
    </w:p>
    <w:p>
      <w:pPr>
        <w:spacing w:after="0" w:line="183" w:lineRule="exact"/>
        <w:rPr>
          <w:sz w:val="20"/>
          <w:szCs w:val="20"/>
          <w:color w:val="auto"/>
        </w:rPr>
      </w:pPr>
    </w:p>
    <w:p>
      <w:pPr>
        <w:ind w:left="460" w:hanging="452"/>
        <w:spacing w:after="0"/>
        <w:tabs>
          <w:tab w:leader="none" w:pos="4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Security of the series (which shall distinguish the Securities of the series from all other Securities);</w:t>
      </w:r>
    </w:p>
    <w:p>
      <w:pPr>
        <w:spacing w:after="0" w:line="225"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the Securities of such series initially to be issued and any limit upon the aggregate principal amount of the Securities of that series that may be authenticated and delivered under this Indenture (except for Securities authenticated and delivered upon registration of transfer of, or in exchange for, or in lieu of, other Securities of that series);</w:t>
      </w:r>
    </w:p>
    <w:p>
      <w:pPr>
        <w:spacing w:after="0" w:line="175" w:lineRule="exact"/>
        <w:rPr>
          <w:rFonts w:ascii="Times New Roman" w:cs="Times New Roman" w:eastAsia="Times New Roman" w:hAnsi="Times New Roman"/>
          <w:sz w:val="18"/>
          <w:szCs w:val="18"/>
          <w:color w:val="auto"/>
        </w:rPr>
      </w:pPr>
    </w:p>
    <w:p>
      <w:pPr>
        <w:ind w:left="460" w:right="20" w:hanging="452"/>
        <w:spacing w:after="0" w:line="282" w:lineRule="auto"/>
        <w:tabs>
          <w:tab w:leader="none" w:pos="4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units based on or relating to currencies in which debt securities of such series are denominated and the currency or units in which principal or interest or both will or may be payable;</w:t>
      </w:r>
    </w:p>
    <w:p>
      <w:pPr>
        <w:spacing w:after="0" w:line="16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Securities of the series is payable and the place(s) of payment;</w:t>
      </w:r>
    </w:p>
    <w:p>
      <w:pPr>
        <w:spacing w:after="0" w:line="22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at which the Securities of the series shall bear interest or the manner of calculation of such rate or rates, if any;</w:t>
      </w:r>
    </w:p>
    <w:p>
      <w:pPr>
        <w:spacing w:after="0" w:line="225"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such interest shall accrue, the Interest Payment Dates on which such interest will be payable or the manner of determination of such Interest Payment Dates, the place(s) of payment, and the record date for the determination of holders to whom interest is payable on any such Interest Payment Dates or the method for determining such dates;</w:t>
      </w:r>
    </w:p>
    <w:p>
      <w:pPr>
        <w:spacing w:after="0" w:line="17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extend the interest payment periods or to defer the payment of interest and the duration of such extension;</w:t>
      </w:r>
    </w:p>
    <w:p>
      <w:pPr>
        <w:spacing w:after="0" w:line="225"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Securities of the series may be redeemed, in whole or in part, at the option of the Company;</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8" w:name="page59"/>
    <w:bookmarkEnd w:id="58"/>
    <w:p>
      <w:pPr>
        <w:jc w:val="both"/>
        <w:ind w:left="460" w:hanging="452"/>
        <w:spacing w:after="0" w:line="261" w:lineRule="auto"/>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if any, of the Company to redeem or purchase Securities of the series pursuant to any sinking fund or analogous provisions (including payments made in cash in satisfaction of future sinking fund obligations)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7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w:t>
      </w:r>
    </w:p>
    <w:p>
      <w:pPr>
        <w:spacing w:after="0" w:line="22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Securities of the series including the form of the Certificate of Authentication for such series;</w:t>
      </w:r>
    </w:p>
    <w:p>
      <w:pPr>
        <w:spacing w:after="0" w:line="225"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denominations of one thousand U.S. dollars ($1,000) or any integral multiple thereof, the denominations in which the Securities of the series shall be issuable;</w:t>
      </w:r>
    </w:p>
    <w:p>
      <w:pPr>
        <w:spacing w:after="0" w:line="161"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other terms with respect to such series (which terms shall not be inconsistent with the terms of this Indenture, as amended by any supplemental indenture) including any terms which may be required by or advisable under United States laws or regulations or advisable in connection with the marketing of Securities of that series;</w:t>
      </w:r>
    </w:p>
    <w:p>
      <w:pPr>
        <w:spacing w:after="0" w:line="17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Securities are issuable as a Global Security and, in such case, the identity of the Depositary for such series;</w:t>
      </w:r>
    </w:p>
    <w:p>
      <w:pPr>
        <w:spacing w:after="0" w:line="225" w:lineRule="exact"/>
        <w:rPr>
          <w:rFonts w:ascii="Times New Roman" w:cs="Times New Roman" w:eastAsia="Times New Roman" w:hAnsi="Times New Roman"/>
          <w:sz w:val="18"/>
          <w:szCs w:val="18"/>
          <w:color w:val="auto"/>
        </w:rPr>
      </w:pPr>
    </w:p>
    <w:p>
      <w:pPr>
        <w:ind w:left="460" w:right="20" w:hanging="452"/>
        <w:spacing w:after="0" w:line="282" w:lineRule="auto"/>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Securities will be convertible into shares of common stock or other securities of the Company and, if so, the terms and conditions upon which such Securities will be so convertible, including the conversion price and the conversion period;</w:t>
      </w:r>
    </w:p>
    <w:p>
      <w:pPr>
        <w:spacing w:after="0" w:line="161"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principal amount thereof, the portion of the principal amount of Securities of the series which shall be payable upon declaration of acceleration of the maturity thereof pursuant to Section 6.01; and</w:t>
      </w:r>
    </w:p>
    <w:p>
      <w:pPr>
        <w:spacing w:after="0" w:line="16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or different Events of Default or restrictive covenants provided for with respect to the Securities of the series.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All Securities of any one series shall be substantially identical except as to denomination and except as may otherwise be provided in or pursuant to any such Board Resolution or in any indentures supplemental hereto.</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auto"/>
        </w:rPr>
        <w:t>SECTION 2.02 Form of Securities and Trustee’s Certificate.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Securities of any series and the Trustee’s certificate of authentication to be borne by such Securities shall be substantially of the tenor and purport as set forth in one or more indentures supplemental hereto or as provided in a Board Resolution of the Company and as set forth in an Officers’ Certificate of the Company and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stock exchange on which Securities of that series may be listed, or to conform to usage.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2.03 Denominations: Provisions for Payment.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Securities shall be issuable as registered Securities and in the denominations of one thousand U.S. dollars ($1,000) or any integral multiple thereof, subject to Section 2.01(a)(12). The Securities of a particular series shall bear interest payable on the dates and at the rate specified with respect to that series. The principal of and the interest on the Securities of any series, as well as any premium thereon in case of redemption thereof prior to maturity, shall be payable in the coin or currency of the United States of America that at the time is legal tender for public and private debt, at the office or agency of the Company maintained for that purpose in the Borough of Manhattan, the City and State of New York. Each Security shall be dated the date of its authentication. Interest on the Securities shall be computed on the basis of a 360-day year composed of twelve 30-day months.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3.03.</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interest on any Security that is payable, but is not punctually paid or duly provided for, on any Interest Payment Date for Securities of the same series (herein called “Defaulted Interest”) shall forthwith cease to be payable to the registered holder on the relevant regular record date by virtue of having been such holder; and such Defaulted Interest shall be paid by the Company, at its election, as provided in clause (1) or clause (2) below:</w:t>
      </w:r>
    </w:p>
    <w:p>
      <w:pPr>
        <w:spacing w:after="0" w:line="176" w:lineRule="exact"/>
        <w:rPr>
          <w:sz w:val="20"/>
          <w:szCs w:val="20"/>
          <w:color w:val="auto"/>
        </w:rPr>
      </w:pPr>
    </w:p>
    <w:p>
      <w:pPr>
        <w:jc w:val="both"/>
        <w:ind w:left="340" w:hanging="332"/>
        <w:spacing w:after="0" w:line="269" w:lineRule="auto"/>
        <w:tabs>
          <w:tab w:leader="none" w:pos="34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may make payment of any Defaulted Interest on Securities to the Persons in whose names such Securities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 class postage prepaid, to each Securityholder at his or her address as it appears in the Security Register, not less than 10 days prior to such special record date. Notice of the proposed payment of such Defaulted Interest and the special record date therefor having been mailed as aforesaid, such Defaulted Interest shall be paid to the Persons in whose names such Securities (or their respective Predecessor Securities) are registered on such special record date.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0" w:name="page61"/>
    <w:bookmarkEnd w:id="60"/>
    <w:p>
      <w:pPr>
        <w:jc w:val="both"/>
        <w:ind w:left="340" w:hanging="332"/>
        <w:spacing w:after="0" w:line="266"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Unless otherwise set forth in a Board Resolution of the Company or one or more indentures supplemental hereto establishing the terms of any series of Securities pursuant to Section 2.01 hereof, the term “regular record date” as used in this Section with respect to a series of Securities with respect to any Interest Payment Date for such series shall mean either the fifteenth day of the month immediately preceding the month in which an Interest Payment Date established for such series pursuant to Section 2.01 hereof shall occur, if such Interest Payment Date is the first day of a month, or the last day of the month immediately preceding the month in which an Interest Payment Date established for such series pursuant to Section 2.01 hereof shall occur, if such Interest Payment Date is the fifteenth day of a month, whether or not such date is a Business Day.</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2.04 Execution and Authentications.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Securities shall be signed on behalf of the Company by its President, or one of its Vice Presidents, or its Treasurer, or one of its Assistant Treasurers, or its Secretary, or one of its Assistant Secretaries, under its corporate seal attested by its Secretary or one of its Assistant Secretaries. Signatures may be in the form of a manual or facsimile signature. The Company may use the facsimile signature of any Person who shall have been a President or Vice President thereof, or of any Person who shall have been a Treasurer or Assistant Treasurer thereof, or of any Person who shall have been a Secretary or Assistant Secretary thereof, notwithstanding the fact that at the time the Securities shall be authenticated and delivered or disposed of such Person shall have ceased to be the President or a Vice President, the Treasurer or an Assistant Treasurer or the Secretary or an Assistant Secretary, of the Company. The seal of the Company may be in the form of a facsimile of such seal and may be impressed, affixed, imprinted or otherwise reproduced on the Securities. The Securities may contain such notations, legends or endorsements required by law, stock exchange rule or usage. Each Security shall be dated the date of its authentication.</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Security shall not be valid or obligatory for any purpose and shall not be entitled to any benefit under this Indenture, in each case, until authenticated with a certificate of authentication manually signed by an authorized signatory of the Trustee, or by an Authenticating Agent. Such certificate shall be conclusive evidence, and the only evidence, that the Security so authenticated has been duly authenticated and delivered hereunder and that the Security is entitled to the benefits of this Indenture. At any time and from time to time after the execution and delivery of this Indenture, the Company may deliver Securities of any series executed by the Company to the Trustee for authentication, together with a written order of the Company for the authentication and delivery of such Securities, signed by its President or any Vice President and its Secretary or any Assistant Secretary, and the Trustee in accordance with such written order shall authenticate and deliver such Securities.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1" w:name="page62"/>
    <w:bookmarkEnd w:id="61"/>
    <w:p>
      <w:pPr>
        <w:jc w:val="both"/>
        <w:spacing w:after="0" w:line="266" w:lineRule="auto"/>
        <w:rPr>
          <w:sz w:val="20"/>
          <w:szCs w:val="20"/>
          <w:color w:val="auto"/>
        </w:rPr>
      </w:pPr>
      <w:r>
        <w:rPr>
          <w:rFonts w:ascii="Times New Roman" w:cs="Times New Roman" w:eastAsia="Times New Roman" w:hAnsi="Times New Roman"/>
          <w:sz w:val="18"/>
          <w:szCs w:val="18"/>
          <w:color w:val="auto"/>
        </w:rPr>
        <w:t>In authenticating such Securities and accepting the additional responsibilities under this Indenture in relation to such Securities, the Trustee shall be entitled to receive, and (subject to Section 7.01) shall be fully protected in relying upon, an Opinion of Counsel stating that the form and terms thereof have been established in conformity with the provisions of this Indenture.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2.05 Registration of Transfer and Exchange.</w:t>
      </w:r>
    </w:p>
    <w:p>
      <w:pPr>
        <w:spacing w:after="0" w:line="225" w:lineRule="exact"/>
        <w:rPr>
          <w:sz w:val="20"/>
          <w:szCs w:val="20"/>
          <w:color w:val="auto"/>
        </w:rPr>
      </w:pPr>
    </w:p>
    <w:p>
      <w:pPr>
        <w:jc w:val="both"/>
        <w:ind w:left="340" w:hanging="332"/>
        <w:spacing w:after="0" w:line="256"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 any series may be exchanged upon presentation thereof at the office or agency of the Company designated for such purpose in the Borough of Manhattan, the City and State of New York,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spacing w:after="0" w:line="187"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keep, or cause to be kept, at its office or agency designated for such purpose in the Borough of Manhattan, the City and State of New York, or such other location designated by the Company a register or registers (herein referred to as the “Security Register”)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(the “Security Registrar”).</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spacing w:after="0" w:line="176" w:lineRule="exact"/>
        <w:rPr>
          <w:sz w:val="20"/>
          <w:szCs w:val="20"/>
          <w:color w:val="auto"/>
        </w:rPr>
      </w:pPr>
    </w:p>
    <w:p>
      <w:pPr>
        <w:jc w:val="both"/>
        <w:ind w:left="340" w:hanging="332"/>
        <w:spacing w:after="0" w:line="266"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service charge shall be made for any exchange or registration of transfer of Securities, or issue of new Securities in case of partial redemption of any series, but the Company may require payment of a sum sufficient to cover any tax or other governmental charge in relation thereto, other than exchanges pursuant to Section 2.06, Section 3.03(b) and Section 9.04 not involving any transfer.</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required (i) to issue, exchange or register the transfer of any Securities during a period beginning at the opening of business 15 days before the day of the mailing of a notice of redemption of less than all the Outstanding Securities of the same series and ending at the close of business on the day of such mailing, nor (ii) to register the transfer of or exchange any Securities of any series or portions thereof called for redemption. The provisions of this Section 2.05 are, with respect to any Global Security, subject to Section 2.11 hereof.</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color w:val="auto"/>
        </w:rPr>
        <w:t>SECTION 2.06 Temporary Securities.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holders), at the office or agency of the Company designated for the purpose in the Borough of Manhattan, the City and State of New York, and the Trustee shall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2.07 Mutilated, Destroyed, Lost or Stolen Securities.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case any temporary or definitive Security shall become mutilated or be destroyed, lost or stolen, the Company (subject to the next succeeding sentence) shall execute, and upon the Company’s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written request or authorization of any officer of the Company. Upon the issuance of any substituted Security, the Company may require the payment of a sum sufficient to cover any tax or other governmental charge that may be imposed in relation thereto and any other expenses (including the fees and expenses of the Trustee) connected therewith. 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color w:val="auto"/>
        </w:rPr>
        <w:t>SECTION 2.08 Cancellation.</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All Securities surrendered for the purpose of payment, redemption, exchange or registration of transfer shall, if surrendered to the Company or any paying agent, be delivered to the Trustee for cancellation, or, if surrendered to the Trustee, shall be cancelled by it, and no Securities shall be issued in lieu thereof except as expressly required or permitted by any of the provisions of this Indenture. On request of the Company at the time of such surrender, the Trustee shall deliver to the Company canceled Securities held by the Trustee. In the absence of such request the Trustee may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2.09 Benefits of Indenture.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Nothing in this Indenture or in the Securities, express or implied, shall give or be construed to give to any Person, other than the parties hereto and the holders of the Securities any legal or equitable right, remedy or claim under or in respect of this Indenture, or under any covenant, condition or provision herein contained; all such covenants, conditions and provisions being for the sole benefit of the parties hereto and of the holders of the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2.10 Authenticating Agent.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auto"/>
        </w:rPr>
        <w:t>SECTION 2.11 Global Securities</w:t>
      </w:r>
    </w:p>
    <w:p>
      <w:pPr>
        <w:spacing w:after="0" w:line="225" w:lineRule="exact"/>
        <w:rPr>
          <w:sz w:val="20"/>
          <w:szCs w:val="20"/>
          <w:color w:val="auto"/>
        </w:rPr>
      </w:pPr>
    </w:p>
    <w:p>
      <w:pPr>
        <w:jc w:val="both"/>
        <w:ind w:left="340" w:hanging="332"/>
        <w:spacing w:after="0" w:line="255"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establish pursuant to Section 2.01 that some or all of the Securities of a particular series are to be issued as a Global Security, then the Company shall execute and the Trustee shall, in accordance with Section 2.04, authenticate and deliver, a Global Security that (i) shall represent, and shall be denominated in an amount equal to the aggregate principal amount of, the Outstanding Securities of such series which are to be issued as a Global Security, (ii) shall be registered in the name of the Depositary or its nominee, (iii) shall be delivered by the Trustee to the Depositary or pursuant to the Depositary’s instruction and (iv) shall bear a legend substantially to the following effect: “Except as otherwise provided in Section 2.11 of the Indenture, this Security may be transferred, in whole but not in part, only to another nominee of the Depositary or to a successor Depositary or to a nominee of such successor Depositary.”</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provisions of Section 2.05, the Global Security of a series may be transferred, in whole but not in part and in the manner provided in Section 2.05, only to another nominee of the Depositary for such series, or to a successor Depositary for such series selected or approved by the Company or to a nominee of such successor Depositary.</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52"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this Section 2.11 shall no longer be applicable to the Securities of such series and the Company will execute, and subject to Section 2.05,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2.05, the Trustee, upon receipt of an Officers’ 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2.11(c) shall be registered in such names and in such authorized denominations as the Depositary, pursuant to instructions from its direct or indirect participants or otherwise, shall instruct the Trustee. The Trustee shall deliver such Securities to the Depositary for delivery to the Persons in whose names such Securities are so registered.</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REDEMPTION OF SECURITIES AND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SINKING FUND PROVISIONS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3.01 Redemption.</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may redeem the Securities of any series issued hereunder on and after the dates and in accordance with the terms established for such series pursuant to Section 2.01 hereof.</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auto"/>
        </w:rPr>
        <w:t>SECTION 3.02 Notice of Redemption.</w:t>
      </w:r>
    </w:p>
    <w:p>
      <w:pPr>
        <w:spacing w:after="0" w:line="225" w:lineRule="exact"/>
        <w:rPr>
          <w:sz w:val="20"/>
          <w:szCs w:val="20"/>
          <w:color w:val="auto"/>
        </w:rPr>
      </w:pPr>
    </w:p>
    <w:p>
      <w:pPr>
        <w:jc w:val="both"/>
        <w:ind w:left="340" w:hanging="332"/>
        <w:spacing w:after="0" w:line="253"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 Company shall desire to exercise such right to redeem all or, as the case may be, a portion of the Securities of any series in accordance with the right reserved so to do, the Company shall, or shall cause the Trustee to, give notice of such redemption to holders of the Securities of such series to be redeemed by mailing, first class postage prepaid, a notice of such redemption not less than 30 days and not more than 90 days before the date fixed for redemption of that series to such holders at their last addresses as they shall appear upon the Security Register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Each such notice of redemption shall specify the date fixed for redemption and the redemption price at which Securities of that series are to be redeemed, and shall state that payment of the redemption price of such Securities to be redeemed will be made at the office or agency of the Company in the Borough of Manhattan, the City and State of New York, upon presentation and surrender of such Securities, that interest accrued to the date fixed for redemption will be paid as specified in said notice, that from and after said date interest will cease to accrue and that the redemption is for a sinking fund, if such is the case. If less than all the Securities of a series are to be redeemed, the notice to the holders of Securities of that series to be redeemed in whole or in part shall specify the particular Securities to be so redeemed. 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spacing w:after="0" w:line="192" w:lineRule="exact"/>
        <w:rPr>
          <w:sz w:val="20"/>
          <w:szCs w:val="20"/>
          <w:color w:val="auto"/>
        </w:rPr>
      </w:pPr>
    </w:p>
    <w:p>
      <w:pPr>
        <w:jc w:val="both"/>
        <w:ind w:left="340" w:hanging="332"/>
        <w:spacing w:after="0" w:line="253" w:lineRule="auto"/>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less than all the Securities of a series are to be redeemed, the Company shall give the Trustee at least 30 days’ notice in advance of the date fixed for redemption as to the aggregate principal amount of Securities of the series to be redeemed, and thereupon the Trustee shall select, by lot or in such other manner as it shall deem appropriate and fair in its discretion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its President or any Vice President,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color w:val="auto"/>
        </w:rPr>
        <w:t>SECTION 3.03 Payment Upon Redemption.</w:t>
      </w:r>
    </w:p>
    <w:p>
      <w:pPr>
        <w:spacing w:after="0" w:line="225" w:lineRule="exact"/>
        <w:rPr>
          <w:sz w:val="20"/>
          <w:szCs w:val="20"/>
          <w:color w:val="auto"/>
        </w:rPr>
      </w:pPr>
    </w:p>
    <w:p>
      <w:pPr>
        <w:jc w:val="both"/>
        <w:ind w:left="340" w:hanging="332"/>
        <w:spacing w:after="0" w:line="254"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the date fixed for redemption (but if the date fixed for redemption is an interest payment date, the interest installment payable on such date shall be payable to the registered holder at the close of business on the applicable record date pursuant to Section 2.03).</w:t>
      </w:r>
    </w:p>
    <w:p>
      <w:pPr>
        <w:spacing w:after="0" w:line="19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presentation of any Security of such series that is to be redeemed in part only, the Company shall execute and the Trustee shall authenticate and the office or agency where the Security is presented shall deliver to the holder thereof, at the expense of the Company, a new Security of the same series of authorized denominations in principal amount equal to the unredeemed portion of the Security so presented.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3.04 Sinking Fund.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provisions of Sections 3.04, 3.05 and 3.06 shall be applicable to any sinking fund for the retirement of Securities of a series, except as otherwise specified as contemplated by Section 2.01 for Securities of such series.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3.05. Each sinking fund payment shall be applied to the redemption of Securities of any series as provided for by the terms of Securities of such series.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3.05 Satisfaction of Sinking Fund Payments with Securities.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 may deliver Outstanding Securities of a series (other than any Securities previously called for redemption)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3.06 Redemption of Securities for Sinking Fund.</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Not less than 45 days prior to each sinking fund payment date for any series of Securities,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3.05 and the basis for such credit and will, together with such Officers’ Certificate, deliver to the Trustee any Securities to be so delivered. Not less than 30 days before each such sinking fund payment date the Trustee shall select the Securities to be redeemed upon such sinking fund payment date in the manner specified in Section 3.02 and cause notice of the redemption thereof to be given in the name of and at the expense of the Company in the manner provided in Section 3.02. Such notice having been duly given, the redemption of such Securities shall be made upon the terms and in the manner stated in Section 3.03.</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COVENANTS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4.01 Payment of Principal, Premium and Interest.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will duly and punctually pay or cause to be paid the principal of (and premium, if any) and interest on the Securities of that series at the time and place and in the manner provided herein and established with respect to such Securities.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4.02 Maintenance of Office or Agency.</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 long as any series of the Securities remain Outstanding, the Company agrees to maintain an office or agency in the Borough of Manhattan, the City and State of New York, with respect to each such series and at such other location or locations as may be designated as provided in this Section 4.02, where (i) Securities of that series may be presented or surrendered for payment, (ii) Securities of that series may be presented as herein above authorized for registration of transfer and exchange, and (iii) notices and demands to or upon the Company in respect of the Securities of that series and this Indenture may be given or served, such designation to continue with respect to such office or agency until the Company shall, by written notice signed by its President or a Vice President and delivered to the trustee,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 Trustee, and the Company hereby appoints the Trustee as its agent to receive all such presentations, notices and demands.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4.03 Paying Agents.</w:t>
      </w:r>
    </w:p>
    <w:p>
      <w:pPr>
        <w:spacing w:after="0" w:line="225" w:lineRule="exact"/>
        <w:rPr>
          <w:sz w:val="20"/>
          <w:szCs w:val="20"/>
          <w:color w:val="auto"/>
        </w:rPr>
      </w:pPr>
    </w:p>
    <w:p>
      <w:pPr>
        <w:jc w:val="both"/>
        <w:ind w:left="340" w:hanging="332"/>
        <w:spacing w:after="0" w:line="266" w:lineRule="auto"/>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spacing w:after="0" w:line="176" w:lineRule="exact"/>
        <w:rPr>
          <w:sz w:val="20"/>
          <w:szCs w:val="20"/>
          <w:color w:val="auto"/>
        </w:rPr>
      </w:pPr>
    </w:p>
    <w:p>
      <w:pPr>
        <w:jc w:val="both"/>
        <w:ind w:left="340" w:hanging="332"/>
        <w:spacing w:after="0" w:line="266" w:lineRule="auto"/>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give the Trustee notice of any failure by the Company (or by any other obligor of such Securities) to make any payment of the principal of (and premium, if any) or interest on the Securities of that series when the same shall be due and payable;</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at any time during the continuance of any failure referred to in the preceding paragraph (a)(2) above, upon the written request of the Trustee, forthwith pay to the Trustee all sums so held in trust by such paying agent; and</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perform all other duties of paying agent as set forth in this Indenture.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8" w:name="page69"/>
    <w:bookmarkEnd w:id="68"/>
    <w:p>
      <w:pPr>
        <w:jc w:val="both"/>
        <w:ind w:left="340" w:hanging="332"/>
        <w:spacing w:after="0" w:line="254"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with monies held by all other paying agents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Section to the contrary, (i) the agreement to hold sums in trust as provided in this Section is subject to the provisions of Section 11.05,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any paying agent to the Trustee, such paying agent shall be released from all further liability with respect to such money.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4.04 Appointment to Fill Vacancy in Office of Trustee.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whenever necessary to avoid or fill a vacancy in the office of Trustee, will appoint, in the manner provided in Section 7.10, a Trustee, so that there shall at all times be a Trustee hereunder.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4.05 Compliance with Consolidation Provisions.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will not, while any of the Securities remain Outstanding, consolidate with or merge into any other Person, in either case where the Company is not the survivor of such transaction, or sell or convey all or substantially all of its property to any other company unless the provisions of Article X hereof are complied with.</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2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SECURITYHOLDERS’ LISTS AND REPORTS BY THE COMPANY AND THE TRUSTEE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5.01 Company to Furnish Trustee Names and Addresses of Securityholders.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Company is not the Security Register, the Company will furnish or use reasonable efforts to cause to be furnished to the Trustee (a) on each regular record date (as defined in Section 2.03)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color w:val="auto"/>
        </w:rPr>
        <w:t>SECTION 5.02 Preservation of Information; Communications with Securityholders.</w:t>
      </w:r>
    </w:p>
    <w:p>
      <w:pPr>
        <w:spacing w:after="0" w:line="225" w:lineRule="exact"/>
        <w:rPr>
          <w:sz w:val="20"/>
          <w:szCs w:val="20"/>
          <w:color w:val="auto"/>
        </w:rPr>
      </w:pPr>
    </w:p>
    <w:p>
      <w:pPr>
        <w:jc w:val="both"/>
        <w:ind w:left="340" w:hanging="332"/>
        <w:spacing w:after="0" w:line="266" w:lineRule="auto"/>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preserve, in as current a form as is reasonably practicable, all information as to the names and addresses of the holders of Securities contained in the most recent list furnished to it as provided in Section 5.01 and as to the names and addresses of holders of Securities received by the Trustee in its capacity as Security Registrar (if acting in such capacity) and shall otherwise comply with Section 312(a) of the Trust Indenture Act.</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destroy any list furnished to it as provided in Section 5.01 upon receipt of a new list so furnished.</w:t>
      </w:r>
    </w:p>
    <w:p>
      <w:pPr>
        <w:spacing w:after="0" w:line="22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Securityholders may communicate as provided in Section 312(b) of the Trust Indenture Act with other Securityholders with respect to their rights under this Indenture or under the Securities.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5.03 Reports by the Company.</w:t>
      </w:r>
    </w:p>
    <w:p>
      <w:pPr>
        <w:spacing w:after="0" w:line="225" w:lineRule="exact"/>
        <w:rPr>
          <w:sz w:val="20"/>
          <w:szCs w:val="20"/>
          <w:color w:val="auto"/>
        </w:rPr>
      </w:pPr>
    </w:p>
    <w:p>
      <w:pPr>
        <w:jc w:val="both"/>
        <w:ind w:left="340" w:hanging="332"/>
        <w:spacing w:after="0" w:line="254" w:lineRule="auto"/>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and agrees to file with the Trustee, within 15 days after the Company is required to file the same with the Commission, copies of the annual reports and of the information, documents and other reports (or copies of such portions of any of the foregoing as the Commission may from time to time by rules and regulations prescribe) that the Company may be required to file with the Commission pursuant to Section 13 or Section 15(d) of the Exchange Act; or, if the Company is not required to file information, documents or reports pursuant to either of such sections, then to file with the Trustee and the Commission, in accordance with the rules and regulations prescribed from time to time by the Commission, such of the supplementary and periodic information, documents and reports that may be required pursuant to Section 13 of the Exchange Act, in respect of a security listed and registered on a national securities exchange as may be prescribed from time to time in such rules and regulations; provided, however, the Company shall not be required to deliver to the Trustee any materials for which the Company has sought and received confidential treatment by the Commission. The Company also shall comply with the other provisions of Section 314(a) of the Trust Indenture Act.</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and agrees to file with the Trustee and the Commission, in accordance with the rules and regulations prescribed from to time by the Commission, such additional information, documents and reports with respect to compliance by the Company with the conditions and covenants provided for in this Indenture as may be required from time to time by such rules and regulations.</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and agrees to transmit by mail, first class postage prepaid, or reputable over-night delivery service that provides for evidence of receipt, to the Securityholders, as their names and addresses appear upon the Security Register, within 30 days after the filing thereof with the Trustee, such summaries of any information, documents and reports required to be filed by the Company pursuant to subsections (a) and (b) of this Section as may be required by rules and regulations prescribed from time to time by the Commission.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5.04 Reports by the Trustee.</w:t>
      </w:r>
    </w:p>
    <w:p>
      <w:pPr>
        <w:spacing w:after="0" w:line="225" w:lineRule="exact"/>
        <w:rPr>
          <w:sz w:val="20"/>
          <w:szCs w:val="20"/>
          <w:color w:val="auto"/>
        </w:rPr>
      </w:pPr>
    </w:p>
    <w:p>
      <w:pPr>
        <w:ind w:left="340" w:right="20" w:hanging="332"/>
        <w:spacing w:after="0" w:line="282" w:lineRule="auto"/>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transmit to holders as provided in Section 313 of the Trust Indenture Act such reports concerning the Trustee and its actions under this Indenture as may be required by Section 313 of the Trust Indenture Act at the times and in the manner provided by the Trust Indenture Act.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each such report shall, at the time of such transmission to Securityholders, be filed by the Trustee with the Company, with each stock exchange upon which any Securities are listed (if so listed) and, if required by Section 313 of the Trust Indenture Act, also with the Commission. The Company agrees to notify the Trustee when any Securities become listed on any stock exchange.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25"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REMEDIES OF THE TRUSTEE AND SECURITYHOLDERS ON EVENT OF DEFAULT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6.01 Events of Default.</w:t>
      </w:r>
    </w:p>
    <w:p>
      <w:pPr>
        <w:spacing w:after="0" w:line="225" w:lineRule="exact"/>
        <w:rPr>
          <w:sz w:val="20"/>
          <w:szCs w:val="20"/>
          <w:color w:val="auto"/>
        </w:rPr>
      </w:pPr>
    </w:p>
    <w:p>
      <w:pPr>
        <w:ind w:left="340" w:hanging="332"/>
        <w:spacing w:after="0" w:line="282"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used herein with respect to Securities of a particular series, “Event of Default” means any one or more of the following events that has occurred and is continuing:</w:t>
      </w:r>
    </w:p>
    <w:p>
      <w:pPr>
        <w:spacing w:after="0" w:line="162" w:lineRule="exact"/>
        <w:rPr>
          <w:sz w:val="20"/>
          <w:szCs w:val="20"/>
          <w:color w:val="auto"/>
        </w:rPr>
      </w:pPr>
    </w:p>
    <w:p>
      <w:pPr>
        <w:jc w:val="both"/>
        <w:ind w:left="340" w:hanging="332"/>
        <w:spacing w:after="0" w:line="266"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defaults in the payment of any installment of interest upon any of the Securities of that series, as and when the same shall become due and payable, and continuance of such default for a period of 90 days; provided, however, that a valid extension of an interest payment period by the Company in accordance with the terms of any indenture supplemental hereto shall not constitute a default in the payment of interest for this purpose;</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indenture supplemental hereto shall not constitute a default in the payment of principal or premium, if any;</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fails to observe or perform any other of its covenants or agreements with respect to that series contained in this Indenture or otherwise established with respect to that series of Securities pursuant to Section 2.01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“Notice of Default” hereunder, shall have been given to the Company by the Trustee, by registered or certified mail, or to the Company and the Trustee by the holders of not less than a majority in principal amount of the Securities of that series at the time Outstanding;</w:t>
      </w:r>
    </w:p>
    <w:p>
      <w:pPr>
        <w:spacing w:after="0" w:line="18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90 consecutive days.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1" w:name="page72"/>
    <w:bookmarkEnd w:id="71"/>
    <w:p>
      <w:pPr>
        <w:jc w:val="both"/>
        <w:ind w:left="340" w:hanging="332"/>
        <w:spacing w:after="0" w:line="256" w:lineRule="auto"/>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each and every such case, unless the principal of all the Securities of that series shall have already become due and payable, either the Trustee or the holders of not less than a majority in aggregate principal amount of the Securities of that series then Outstanding hereunder, by notice in writing to the Company (and to the Trustee if given by such Securityholders), may declare the principal (or, if any Securities of that series are discount securities, that portion of the principal amount as may be specified in the terms of that series pursuant to Section 2.01(a)(16)) of (and premium, if any, on) and accrued and unpaid interest, if any, on all the Securities of that series to be due and payable immediately, and upon any such declaration the same shall become and shall be immediately due and payable.</w:t>
      </w:r>
    </w:p>
    <w:p>
      <w:pPr>
        <w:spacing w:after="0" w:line="187"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principal of the Securities of that series shall have been so declared due and payable, and before a judgment or decree for the payment of the moneys due shall have been obtained or entered as hereinafter provided, the holders of a majority in aggregate principal amount of the Securities of that series then Outstanding hereunder (or, by action at a meeting of holders of the Securities of such series in accordance with Section 8.09, the holders of a majority in aggregate principal amount of the Securities of such series then Outstanding represented at such meeting),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and (ii) any and all Events of Default under this Indenture with respect to such series, other than the nonpayment of principal of (and premium, if any, on) and accrued and unpaid interest, if any, on Securities of that series that shall have become due solely because of such acceleration, shall have been remedied, cured or waived as provided in Section 6.06. No such rescission and annulment shall extend to or shall affect any subsequent default or impair any right consequent thereon.</w:t>
      </w:r>
    </w:p>
    <w:p>
      <w:pPr>
        <w:spacing w:after="0" w:line="194"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6.02 Collection of Indebtedness and Suits for Enforcement by Trustee.</w:t>
      </w:r>
    </w:p>
    <w:p>
      <w:pPr>
        <w:spacing w:after="0" w:line="225" w:lineRule="exact"/>
        <w:rPr>
          <w:sz w:val="20"/>
          <w:szCs w:val="20"/>
          <w:color w:val="auto"/>
        </w:rPr>
      </w:pPr>
    </w:p>
    <w:p>
      <w:pPr>
        <w:jc w:val="both"/>
        <w:ind w:left="340" w:hanging="332"/>
        <w:spacing w:after="0" w:line="253" w:lineRule="auto"/>
        <w:tabs>
          <w:tab w:leader="none" w:pos="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that (1) in case it shall default in the payment of any installment of interest on any of the Securities of a series, or any payment required by any sinking or analogous fund established with respect to that series as and when the same shall have become due and payable, and such default shall have continued for a period of 90 Business Days, or (2) in case it shall default in the payment of the principal of (or premium, if any, on) any of the Securities of a series when the same shall have become due and payable, whether upon maturity of the Securities of a series or upon redemption or upon declaration or otherwise,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Section 7.06.</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2" w:name="page73"/>
    <w:bookmarkEnd w:id="72"/>
    <w:p>
      <w:pPr>
        <w:jc w:val="both"/>
        <w:ind w:left="340" w:hanging="332"/>
        <w:spacing w:after="0" w:line="258" w:lineRule="auto"/>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out of the property of the Company or other obligor upon the Securities of that series, wherever situated.</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any receivership, insolvency, liquidation, bankruptcy, reorganization, readjustment, arrangement, composition or judicial proceedings affected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this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7.06.</w:t>
      </w:r>
    </w:p>
    <w:p>
      <w:pPr>
        <w:spacing w:after="0" w:line="194"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7.06, be for the ratable benefit of the holders of the Securities of such series.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Nothing contained herein shall be deemed to authorize the Trustee to authorize or consent to or accept or adopt on behalf of any Securityholder any plan of reorganization, arrangement, adjustment or composition affecting the Securities of that series or the rights of any holder thereof or to authorize the Trustee to vote in respect of the claim of any Securityholder in any such proceeding.</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color w:val="auto"/>
        </w:rPr>
        <w:t>SECTION 6.03 Application of Moneys Collected.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moneys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the payment, if only partially paid, and upon surrender thereof if fully paid:</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FIRST:</w:t>
      </w:r>
      <w:r>
        <w:rPr>
          <w:sz w:val="20"/>
          <w:szCs w:val="20"/>
          <w:color w:val="auto"/>
        </w:rPr>
        <w:tab/>
      </w:r>
      <w:r>
        <w:rPr>
          <w:rFonts w:ascii="Times New Roman" w:cs="Times New Roman" w:eastAsia="Times New Roman" w:hAnsi="Times New Roman"/>
          <w:sz w:val="18"/>
          <w:szCs w:val="18"/>
          <w:color w:val="auto"/>
        </w:rPr>
        <w:t>To the payment of costs and expenses of collection and of all amounts payable to the Trustee under Section 7.06; and</w:t>
      </w:r>
    </w:p>
    <w:p>
      <w:pPr>
        <w:spacing w:after="0" w:line="225" w:lineRule="exact"/>
        <w:rPr>
          <w:sz w:val="20"/>
          <w:szCs w:val="20"/>
          <w:color w:val="auto"/>
        </w:rPr>
      </w:pPr>
    </w:p>
    <w:p>
      <w:pPr>
        <w:jc w:val="both"/>
        <w:ind w:left="980" w:right="20" w:hanging="979"/>
        <w:spacing w:after="0" w:line="266" w:lineRule="auto"/>
        <w:tabs>
          <w:tab w:leader="none" w:pos="960" w:val="left"/>
        </w:tabs>
        <w:rPr>
          <w:sz w:val="20"/>
          <w:szCs w:val="20"/>
          <w:color w:val="auto"/>
        </w:rPr>
      </w:pPr>
      <w:r>
        <w:rPr>
          <w:rFonts w:ascii="Times New Roman" w:cs="Times New Roman" w:eastAsia="Times New Roman" w:hAnsi="Times New Roman"/>
          <w:sz w:val="18"/>
          <w:szCs w:val="18"/>
          <w:color w:val="auto"/>
        </w:rPr>
        <w:t>SECOND:</w:t>
        <w:tab/>
        <w:t>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6.04 Limitation on Suits.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holder previously shall have given to the Trustee written notice of an Event of Default and of the continuance thereof with respect to the Securities of such series specifying such Event of Default, as hereinbefore provided; (ii) the holders of not less than a majority in aggregate principal amount of the Securities of such series then Outstanding shall have made written request upon the Trustee to institute such action, suit or proceeding in its own name as trustee hereunder; (iii) such holder or holders shall have offered to the Trustee such reasonable indemnity as it may require against the costs, expenses and liabilities to be incurred therein or thereby; and (iv) the Trustee for 60 days after its receipt of such notice, request and offer of indemnity, shall have failed to institute any such action, suit or proceeding and (v) during such 60 day period, the holders of a majority in principal amount of the Securities of that series (or such amount as shall have acted at a meeting of the holders of Securities of such series pursuant to the provisions of this Indenture) do not give the Trustee a direction inconsistent with the request; provided, however, that no one or more of such holders may use this Indenture to prejudice the rights of another holder or to obtain preference or priority over another holder.</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Notwithstanding anything contained herein to the contrary,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color w:val="auto"/>
        </w:rPr>
        <w:t>SECTION 6.05 Rights and Remedies Cumulative; Delay or Omission Not Waiver.</w:t>
      </w:r>
    </w:p>
    <w:p>
      <w:pPr>
        <w:spacing w:after="0" w:line="225" w:lineRule="exact"/>
        <w:rPr>
          <w:sz w:val="20"/>
          <w:szCs w:val="20"/>
          <w:color w:val="auto"/>
        </w:rPr>
      </w:pPr>
    </w:p>
    <w:p>
      <w:pPr>
        <w:jc w:val="both"/>
        <w:ind w:left="340" w:hanging="332"/>
        <w:spacing w:after="0" w:line="261"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Section 2.07,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delay or omission of the Trustee or of any holder of any of the Securities to exercise any right or power accruing upon any Event of Default occurring and continuing as aforesaid shall impair any such right or power, or shall be construed to be a waiver of any such default or on acquiescence therein; and, subject to the provisions of Section 6.04, every power and remedy given by this Article or by law to the Trustee or the Securityholders may be exercised from time to time, and as often as shall be deemed expedient, by the Trustee or by the Securityholders.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6.06 Control by Securityholders.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holders of a majority in aggregate principal amount of the Securities of any series at the time Outstanding, determined in accordance with Section 8.01, shall have the right to direct the time, method and place of conducting any proceeding for any remedy available to the Trustee, or exercising any trust or power conferred on the Trustee with respect to such series; provided, however, that such direction shall not be in conflict with any rule of law or with this Indenture or be unduly prejudicial to the rights of holders of Securities of any other series at the time Outstanding determined in accordance with Section 8.01. Subject to the provisions of Section 7.01, the Trustee shall have the right to decline to follow any such direction if the Trustee in good faith shall, by a Responsible Officer or Officers of the Trustee, determine that the proceeding so directed would involve the Trustee in personal liability.</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holders either (a) through the written consent of not less than a majority in aggregate principal amount of the Securities of any series at the time Outstanding or (b) by action at a meeting of holders of the Securities of such series in accordance with Section 8.09, by the holders of a majority in aggregate principal amount of the Securities of such series then Outstanding represented at such meeting, may on behalf of the holders of all of the Securities of such series waive any past default in the performance of any of the covenants contained herein or established pursuant to Section 2.01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6.01(c)) and except in respect a provision hereof which, under Section 9.02, cannot be modified or amended without the consent of the holders of each Outstanding Security affected; provided however that this Section shall not limit the right of holders of Securities of a series to rescind and annul any acceleration as set forth in Section 6.01.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 The provisions which otherwise would be automatically deemed to be contained in this Indenture pursuant to Section (316)(a)(1) of the Trust Indenture Act are hereby expressly excluded from this Indenture, except to the extent such provisions are expressly included herein.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6.07 Undertaking to Pay Costs.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2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CONCERNING THE TRUSTEE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7.01 Certain Duties and Responsibilities of Trustee.</w:t>
      </w:r>
    </w:p>
    <w:p>
      <w:pPr>
        <w:spacing w:after="0" w:line="225" w:lineRule="exact"/>
        <w:rPr>
          <w:sz w:val="20"/>
          <w:szCs w:val="20"/>
          <w:color w:val="auto"/>
        </w:rPr>
      </w:pPr>
    </w:p>
    <w:p>
      <w:pPr>
        <w:jc w:val="both"/>
        <w:ind w:left="340" w:hanging="332"/>
        <w:spacing w:after="0" w:line="256" w:lineRule="auto"/>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man would exercise or use under the circumstances in the conduct of his own affairs.</w:t>
      </w:r>
    </w:p>
    <w:p>
      <w:pPr>
        <w:spacing w:after="0" w:line="187"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shall be construed to relieve the Trustee from liability for its own negligent action, its own negligent failure to act, or its own willful misconduct, except that:</w:t>
      </w:r>
    </w:p>
    <w:p>
      <w:pPr>
        <w:spacing w:after="0" w:line="162" w:lineRule="exact"/>
        <w:rPr>
          <w:sz w:val="20"/>
          <w:szCs w:val="20"/>
          <w:color w:val="auto"/>
        </w:rPr>
      </w:pPr>
    </w:p>
    <w:p>
      <w:pPr>
        <w:ind w:left="340" w:hanging="332"/>
        <w:spacing w:after="0" w:line="282"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occurrence of an Event of Default with respect to the Securities of a series and after the curing or waiving of all such Events of Default with respect to that series that may have occurred:</w:t>
      </w:r>
    </w:p>
    <w:p>
      <w:pPr>
        <w:spacing w:after="0" w:line="162" w:lineRule="exact"/>
        <w:rPr>
          <w:sz w:val="20"/>
          <w:szCs w:val="20"/>
          <w:color w:val="auto"/>
        </w:rPr>
      </w:pPr>
    </w:p>
    <w:p>
      <w:pPr>
        <w:jc w:val="both"/>
        <w:ind w:left="340" w:hanging="332"/>
        <w:spacing w:after="0" w:line="266" w:lineRule="auto"/>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bad faith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 of this Indenture;</w:t>
      </w:r>
    </w:p>
    <w:p>
      <w:pPr>
        <w:spacing w:after="0" w:line="180" w:lineRule="exact"/>
        <w:rPr>
          <w:sz w:val="20"/>
          <w:szCs w:val="20"/>
          <w:color w:val="auto"/>
        </w:rPr>
      </w:pPr>
    </w:p>
    <w:p>
      <w:pPr>
        <w:ind w:left="340" w:hanging="332"/>
        <w:spacing w:after="0" w:line="282" w:lineRule="auto"/>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error of judgment made in good faith by a Responsible Officer or Responsible Officers of the Trustee, unless it shall be proved that the Trustee, was negligent in ascertaining the pertinent facts;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6" w:name="page77"/>
    <w:bookmarkEnd w:id="76"/>
    <w:p>
      <w:pPr>
        <w:jc w:val="both"/>
        <w:ind w:left="340" w:hanging="332"/>
        <w:spacing w:after="0" w:line="261" w:lineRule="auto"/>
        <w:tabs>
          <w:tab w:leader="none" w:pos="3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 and</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7.02 Certain Rights of Trustee.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otherwise provided in Section 7.01:</w:t>
      </w:r>
    </w:p>
    <w:p>
      <w:pPr>
        <w:spacing w:after="0" w:line="225" w:lineRule="exact"/>
        <w:rPr>
          <w:sz w:val="20"/>
          <w:szCs w:val="20"/>
          <w:color w:val="auto"/>
        </w:rPr>
      </w:pPr>
    </w:p>
    <w:p>
      <w:pPr>
        <w:jc w:val="both"/>
        <w:ind w:left="340" w:hanging="332"/>
        <w:spacing w:after="0" w:line="266" w:lineRule="auto"/>
        <w:tabs>
          <w:tab w:leader="none" w:pos="3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rely and shall be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direction, order or demand of the Company mentioned herein shall be sufficiently evidenced by a Board Resolution or an instrument signed in the name of the Company, by the President or any Vice President and by the Secretary or an Assistant Secretary or the Treasurer or an Assistant Treasurer thereof (unless other evidence in respect thereof is specifically prescribed herein);</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consult with counsel and the written advice of such counsel or any Opinion of Counsel shall be full and complete authorization and protection in respect of any action taken or suffered or omitted hereunder in good faith and in reliance thereon;</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reasonable security or indemnity against the costs,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man would exercise or use under the circumstances in the conduct of his own affairs;</w:t>
      </w:r>
    </w:p>
    <w:p>
      <w:pPr>
        <w:spacing w:after="0" w:line="187"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action taken or omitted to be taken by it in good faith and believed by it to be authorized or within the discretion or rights or powers conferred upon it by this Indenture;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7" w:name="page78"/>
    <w:bookmarkEnd w:id="77"/>
    <w:p>
      <w:pPr>
        <w:jc w:val="both"/>
        <w:ind w:left="340" w:hanging="332"/>
        <w:spacing w:after="0" w:line="255" w:lineRule="auto"/>
        <w:tabs>
          <w:tab w:leader="none" w:pos="3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bound to make any investigation into the facts or matters stated in any resolution, certificate, statement, instrument, opinion, report, notice, request, consent, order, approval, bond, security, or other papers or documents, unless requested in writing so to do by the holders of not less than a majority in principal amount of the Outstanding Securities of the particular series affected thereby (determined as provided in Section 8.04); provided, however,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costs, expenses or liabilities as a condition to so proceeding. The reasonable expense of every such examination shall be paid by the Company or, if paid by the Trustee, shall be repaid by the Company upon demand; and</w:t>
      </w:r>
    </w:p>
    <w:p>
      <w:pPr>
        <w:spacing w:after="0" w:line="188"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7.03 Trustee Not Responsible for Recitals or Issuance of Securities.</w:t>
      </w:r>
    </w:p>
    <w:p>
      <w:pPr>
        <w:spacing w:after="0" w:line="225" w:lineRule="exact"/>
        <w:rPr>
          <w:sz w:val="20"/>
          <w:szCs w:val="20"/>
          <w:color w:val="auto"/>
        </w:rPr>
      </w:pPr>
    </w:p>
    <w:p>
      <w:pPr>
        <w:ind w:left="340" w:hanging="332"/>
        <w:spacing w:after="0" w:line="282" w:lineRule="auto"/>
        <w:tabs>
          <w:tab w:leader="none" w:pos="3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recitals contained herein and in the Securities shall be taken as the statements of the Company, and the Trustee assumes no responsibility for the correctness of the same.</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makes no representations as to the validity or sufficiency of this Indenture or of the Securities.</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2.01, or for the use or application of any moneys received by any paying agent other than the Trustee.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7.04 May Hold Securities.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Trustee or any paying agent or Security Registrar, in its individual or any other capacity, may become the owner or pledgee of Securities with the same rights it would have if it were not Trustee, paying agent or Security Registrar.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7.05 Moneys Held in Trust.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the provisions of Section 11.05,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color w:val="auto"/>
        </w:rPr>
        <w:t>SECTION 7.06 Compensation and Reimbursement.</w:t>
      </w:r>
    </w:p>
    <w:p>
      <w:pPr>
        <w:spacing w:after="0" w:line="225" w:lineRule="exact"/>
        <w:rPr>
          <w:sz w:val="20"/>
          <w:szCs w:val="20"/>
          <w:color w:val="auto"/>
        </w:rPr>
      </w:pPr>
    </w:p>
    <w:p>
      <w:pPr>
        <w:jc w:val="both"/>
        <w:ind w:left="340" w:hanging="332"/>
        <w:spacing w:after="0" w:line="253" w:lineRule="auto"/>
        <w:tabs>
          <w:tab w:leader="none" w:pos="3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and agrees to pay to the Trustee, and the Trustee shall be entitled to, such reasonable compensation (which shall not be limited by any provision of law in regard to the compensation of a trustee of an express trust), as the Company, and the Trustee may from time to time agree in writing, for all services rendered by it in the execution of the trusts hereby created and in the exercise and performance of any of the powers and duties hereunder of the Trustee, and, except as otherwise expressly provided herein, the Company will pay or reimburse the Trustee upon its request for all reasonable expenses, disbursements and advances incurred or made by the Trustee in accordance with any of the provisions of this Indenture (including the reasonable compensation and the expenses and disbursements of its counsel and of all Persons not regularly in its employ) except any such expense, disbursement or advance as may arise from its negligence or bad faith. The Company also covenants to indemnify the Trustee (and its officers, agents, directors and employees) for, and to hold it harmless against, any loss, liability or expense incurred without negligence or bad faith on the part of the Trustee and arising out of or in connection with the acceptance or administration of this trust, including the costs and expenses of defending itself against any claim of liability in the premises.</w:t>
      </w:r>
    </w:p>
    <w:p>
      <w:pPr>
        <w:spacing w:after="0" w:line="194"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under this Section to compensate and indemnify the Trustee and to pay or reimburse the Trustee for expenses, disbursements and advances shall constitute additional indebtedness hereunder. Such additional indebtedness shall be secured by a lien prior to that of the Securities upon all property and funds held or collected by the Trustee as such, except funds held in trust for the benefit of the holders of particular Securities.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7.07 Reliance on Officers’ Certificate.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Except as otherwise provided in Section 7.01, whenever in the administration of the provisions of this Indenture the Trustee shall deem it necessary or desirable that a matter be proved or established prior to taking or suffering or omitting to take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to be taken by it under the provisions of this Indenture upon the faith thereof.</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7.08 Disqualification; Conflicting Interests.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Trustee has or shall acquire any “conflicting interest” within the meaning of Section 310(b) of the Trust Indenture Act, the Trustee and the Company shall in all respects comply with the provisions of Section 310(b) of the Trust Indenture Act.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7.09 Corporate Trustee Required; Eligibility.</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50 million U.S. dollars ($50,000,000), and subject to supervision or examination by Federal, State, Territorial, or District of Columbia authority. If such corporation publishes reports of condition at least annually, pursuant to law or to the requirements of the aforesaid supervising or examining authority, then for the purposes of this Section, the combined capital and surplus of such corporation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color w:val="auto"/>
        </w:rPr>
        <w:t>SECTION 7.10 Resignation and Removal; Appointment of Successor.</w:t>
      </w:r>
    </w:p>
    <w:p>
      <w:pPr>
        <w:spacing w:after="0" w:line="225" w:lineRule="exact"/>
        <w:rPr>
          <w:sz w:val="20"/>
          <w:szCs w:val="20"/>
          <w:color w:val="auto"/>
        </w:rPr>
      </w:pPr>
    </w:p>
    <w:p>
      <w:pPr>
        <w:jc w:val="both"/>
        <w:ind w:left="340" w:hanging="332"/>
        <w:spacing w:after="0" w:line="253" w:lineRule="auto"/>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or any successor hereafter appointed, may at any time resign with respect to the Securities of one or more series by giving written notice thereof to the Company and by transmitting notice of resignation by mail, first class postage prepaid, to the Securityholders of such series, as their names and addresses appear upon the Security Register.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mailing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spacing w:after="0" w:line="19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at any time any one of the following shall occur:</w:t>
      </w:r>
    </w:p>
    <w:p>
      <w:pPr>
        <w:spacing w:after="0" w:line="225" w:lineRule="exact"/>
        <w:rPr>
          <w:sz w:val="20"/>
          <w:szCs w:val="20"/>
          <w:color w:val="auto"/>
        </w:rPr>
      </w:pPr>
    </w:p>
    <w:p>
      <w:pPr>
        <w:ind w:left="340" w:right="20" w:hanging="332"/>
        <w:spacing w:after="0" w:line="282" w:lineRule="auto"/>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fail to comply with the provisions of Section 7.08 after written request therefor by the Company or by any Securityholder who has been a bona fide holder of a Security or Securities for at least six months; or</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cease to be eligible in accordance with the provisions of Section 7.09 and shall fail to resign after written request therefor by the Company or by any such Securityholder; or</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 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unless the Trustee’s duty to resign is stayed as provided herein,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192" w:lineRule="exact"/>
        <w:rPr>
          <w:sz w:val="20"/>
          <w:szCs w:val="20"/>
          <w:color w:val="auto"/>
        </w:rPr>
      </w:pPr>
    </w:p>
    <w:p>
      <w:pPr>
        <w:jc w:val="both"/>
        <w:ind w:left="340" w:hanging="332"/>
        <w:spacing w:after="0" w:line="266" w:lineRule="auto"/>
        <w:tabs>
          <w:tab w:leader="none" w:pos="3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resignation or removal of the Trustee and appointment of a successor trustee with respect to the Securities of a series pursuant to any of the provisions of this Section shall become effective upon acceptance of appointment by the successor trustee as provided in Section 7.11.</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successor trustee appointed pursuant to this Section may be appointed with respect to the Securities of one or more series or all of such series, and at any time there shall be only one Trustee with respect to the Securities of any particular series.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color w:val="auto"/>
        </w:rPr>
        <w:t>SECTION 7.11 Acceptance of Appointment By Successor.</w:t>
      </w:r>
    </w:p>
    <w:p>
      <w:pPr>
        <w:spacing w:after="0" w:line="225" w:lineRule="exact"/>
        <w:rPr>
          <w:sz w:val="20"/>
          <w:szCs w:val="20"/>
          <w:color w:val="auto"/>
        </w:rPr>
      </w:pPr>
    </w:p>
    <w:p>
      <w:pPr>
        <w:jc w:val="both"/>
        <w:ind w:left="340" w:hanging="332"/>
        <w:spacing w:after="0" w:line="256" w:lineRule="auto"/>
        <w:tabs>
          <w:tab w:leader="none" w:pos="3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87" w:lineRule="exact"/>
        <w:rPr>
          <w:rFonts w:ascii="Times New Roman" w:cs="Times New Roman" w:eastAsia="Times New Roman" w:hAnsi="Times New Roman"/>
          <w:sz w:val="18"/>
          <w:szCs w:val="18"/>
          <w:color w:val="auto"/>
        </w:rPr>
      </w:pPr>
    </w:p>
    <w:p>
      <w:pPr>
        <w:jc w:val="both"/>
        <w:ind w:left="340" w:hanging="332"/>
        <w:spacing w:after="0" w:line="267" w:lineRule="auto"/>
        <w:tabs>
          <w:tab w:leader="none" w:pos="34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spacing w:after="0" w:line="189" w:lineRule="exact"/>
        <w:rPr>
          <w:rFonts w:ascii="Times New Roman" w:cs="Times New Roman" w:eastAsia="Times New Roman" w:hAnsi="Times New Roman"/>
          <w:sz w:val="17"/>
          <w:szCs w:val="17"/>
          <w:color w:val="auto"/>
        </w:rPr>
      </w:pPr>
    </w:p>
    <w:p>
      <w:pPr>
        <w:ind w:left="340" w:hanging="332"/>
        <w:spacing w:after="0" w:line="282" w:lineRule="auto"/>
        <w:tabs>
          <w:tab w:leader="none" w:pos="3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successor trustee shall accept its appointment unless at the time of such acceptance such successor trustee shall be qualified and eligible under this Article.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1" w:name="page82"/>
    <w:bookmarkEnd w:id="81"/>
    <w:p>
      <w:pPr>
        <w:jc w:val="both"/>
        <w:ind w:left="340" w:hanging="332"/>
        <w:spacing w:after="0" w:line="261" w:lineRule="auto"/>
        <w:tabs>
          <w:tab w:leader="none" w:pos="3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acceptance of appointment by a successor trustee as provided in this Section, the Company shall transmit notice of the succession of such trustee hereunder by mail, first class postage prepaid, to the Securityholders, as their names and addresses appear upon the Security Register. If the Company fails to transmit such notice within ten days after acceptance of appointment by the successor trustee, the successor trustee shall cause such notice to be transmitted at the expense of the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7.12 Merger, Conversion, Consolidation or Succession to Business.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corporation into which the Trustee may be merged or converted or with which it may be consolidated, or any corporation resulting from any merger, conversion or consolidation to which the Trustee shall be a party, or any corporation succeeding to the corporate trust business of the Trustee, shall be the successor of the Trustee hereunder, provided that such corporation shall be qualified under the provisions of Section 7.08 and eligible under the provisions of Section 7.09,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7.13 Preferential Collection of Claims Against the Company.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VIII</w:t>
      </w:r>
    </w:p>
    <w:p>
      <w:pPr>
        <w:spacing w:after="0" w:line="22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CONCERNING THE SECURITYHOLDERS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8.01 Evidence of Action by Securityholders.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color w:val="auto"/>
        </w:rPr>
        <w:t>SECTION 8.02 Proof of Execution by Securityholders.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Subject to the provisions of Section 7.01, proof of the execution of any instrument by a Securityholder (such proof will not require notarization) or his agent or proxy and proof of the holding by any Person of any of the Securities shall be sufficient if made in the following manner:</w:t>
      </w:r>
    </w:p>
    <w:p>
      <w:pPr>
        <w:spacing w:after="0" w:line="162" w:lineRule="exact"/>
        <w:rPr>
          <w:sz w:val="20"/>
          <w:szCs w:val="20"/>
          <w:color w:val="auto"/>
        </w:rPr>
      </w:pPr>
    </w:p>
    <w:p>
      <w:pPr>
        <w:ind w:left="340" w:hanging="332"/>
        <w:spacing w:after="0"/>
        <w:tabs>
          <w:tab w:leader="none" w:pos="3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and date of the execution by any such Person of any instrument may be proved in any reasonable manner acceptable to the Trustee.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Securities shall be proved by the Security Register of such Securities or by a certificate of the Security Registrar thereof.</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require such additional proof of any matter referred to in this Section as it shall deem necessary.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8.03 Who May be Deemed Owners.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the due presentment for registration of transfer of any Security, the Company, the Trustee, any paying agent and any Security Registrar may deem and treat the Person in whose name such Security shall be registered upon the books of the Company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2.03) interest on such Security and for all other purposes; and neither the Company nor the Trustee nor any paying agent nor any Security Registrar shall be affected by any notice to the contrary.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8.04 Certain Securities Owned by Company Disregarded.</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determining whether the holders of the requisite aggregate principal amount of Securities of a particular series have concurred in any direction, consent of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8.05 Actions Binding on Future Securityholders.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any time prior to (but not after) the evidencing to the Trustee, as provided in Section 8.01,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color w:val="auto"/>
        </w:rPr>
        <w:t>SECTION 8.06 Purposes for Which Meetings May Be Called.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meeting of holders of any series of Securities may be called at any time and from time to time pursuant to this Article to make, give or take any request, demand, authorization, direction, notice, consent, waiver or other action provided by this Indenture to be made, given or taken by holders of such series of Securities.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Notwithstanding anything contained in this Article VIII, the Trustee may, during the pendency of a Default or an Event of Default, call a meeting of holders of any series of Securities in accordance with its standard practices.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8.07 Call Notice and Place of Meetings.</w:t>
      </w:r>
    </w:p>
    <w:p>
      <w:pPr>
        <w:spacing w:after="0" w:line="225" w:lineRule="exact"/>
        <w:rPr>
          <w:sz w:val="20"/>
          <w:szCs w:val="20"/>
          <w:color w:val="auto"/>
        </w:rPr>
      </w:pPr>
    </w:p>
    <w:p>
      <w:pPr>
        <w:jc w:val="both"/>
        <w:ind w:left="340" w:hanging="332"/>
        <w:spacing w:after="0" w:line="258" w:lineRule="auto"/>
        <w:tabs>
          <w:tab w:leader="none" w:pos="3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at any time call a meeting of holders of any series of Securities for any purpose specified in Section 8.06 hereof, to be held at such time and at such place in The City of New York. Notice of every meeting of holders of any series of Securities, setting forth the time and the place of such meeting, in general terms the action proposed to be taken at such meeting and the percentage of the principal amount of the Outstanding Securities of such series which shall constitute a quorum at such meeting, shall be given, in the manner provided in Section 13.04 hereof, not less than 21 nor more than 180 days prior to the date fixed for the meeting to holders of Outstanding Securities of such series.</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at any time the Company, pursuant to a Board Resolution, or the holders of at least 10% in principal amount of the Outstanding Securities of any series shall have requested the Trustee to call a meeting of the holders of Securities of such series for any purpose specified in Section 8.06 hereof, by written request setting forth in reasonable detail the action proposed to be taken at the meeting, and the Trustee shall not have made the first publication of the notice of such meeting within 21 days after receipt of such request or shall not thereafter proceed to cause the meeting to be held as provided herein, then the Company or the holders of Securities of such series in the amount specified, as the case may be, may determine the time and the place in The City of New York for such meeting and may call such meeting for such purposes by giving notice thereof as provided in paragraph (a) of this Section.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8.08 Persons Entitled To Vote at Meetings.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be entitled to vote at any meeting of holders of Securities of a given series, a Person shall be (a) a holder of one or more Outstanding Securities of such series or (b) a Person appointed by an instrument in writing as proxy for a holder or holders of one or more Outstanding Securities of such series by such holder or holders. The only Persons who shall be entitled to be present or to speak at any meeting of holders shall be the Persons entitled to vote at such meeting and their counsel, any representatives of the Trustee and its counsel and any representatives of the Company and its counsel.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8.09 Quorum; Action.</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Persons entitled to vote a majority in aggregate principal amount of the Outstanding Securities of a given series shall constitute a quorum with respect to a meeting of holders of Outstanding Securities of such series. In the absence of a quorum within 30 minutes of the time appointed for any such meeting, the meeting shall, if convened at the request of holders of Securities of such series, be dissolved. In any other case, the meeting may be adjourned for a period of not less than 10 days as determined by the chairman of the meeting prior to the adjournment of such meeting. In the absence of a quorum at any such adjourned meeting, such adjourned meeting may be further adjourned for a period of not less than 10 days as determined by the chairman of the meeting prior to the adjournment of such adjourned meeting. Notice of the reconvening of any adjourned meeting shall be given as provided in Section 8.07(a) hereof, except that such notice need be given only once and not less than five days prior to the date on which the meeting is scheduled to be reconvened.</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4" w:name="page85"/>
    <w:bookmarkEnd w:id="84"/>
    <w:p>
      <w:pPr>
        <w:jc w:val="both"/>
        <w:spacing w:after="0" w:line="261" w:lineRule="auto"/>
        <w:rPr>
          <w:sz w:val="20"/>
          <w:szCs w:val="20"/>
          <w:color w:val="auto"/>
        </w:rPr>
      </w:pPr>
      <w:r>
        <w:rPr>
          <w:rFonts w:ascii="Times New Roman" w:cs="Times New Roman" w:eastAsia="Times New Roman" w:hAnsi="Times New Roman"/>
          <w:sz w:val="18"/>
          <w:szCs w:val="18"/>
          <w:color w:val="auto"/>
        </w:rPr>
        <w:t>At a meeting or an adjourned meeting duly reconvened and at which a quorum is present as aforesaid, any resolution and all matters (except as limited by the proviso to the first paragraph of Section 9.02 hereof) shall be effectively passed and decided if passed or decided by the Persons entitled to vote not less than a majority in aggregate principal amount of Outstanding Securities of a series represented and voting at such meeting with respect to a meeting of holders of Outstanding Securities of such series.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resolution passed or decisions taken at any meeting of holders of Securities duly held in accordance with this Section shall be binding on all the holders of Securities of such series, whether or not present or represented at the meeting.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8.10 Determination of Voting Rights; Conduct and Adjournment of Meetings.</w:t>
      </w:r>
    </w:p>
    <w:p>
      <w:pPr>
        <w:spacing w:after="0" w:line="225" w:lineRule="exact"/>
        <w:rPr>
          <w:sz w:val="20"/>
          <w:szCs w:val="20"/>
          <w:color w:val="auto"/>
        </w:rPr>
      </w:pPr>
    </w:p>
    <w:p>
      <w:pPr>
        <w:jc w:val="both"/>
        <w:ind w:left="340" w:hanging="332"/>
        <w:spacing w:after="0" w:line="261" w:lineRule="auto"/>
        <w:tabs>
          <w:tab w:leader="none" w:pos="3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provisions of this Indenture, the Trustee may make such reasonable regulations as it may deem advisable for any meeting of holders of Securities in regard to proof of the holding of Securities and of the appointment of proxies and in regard to the appointment and duties of inspectors of votes, the submission and examination of proxies, certificates and other evidence of the right to vote, and such other matters concerning the conduct of the meeting as it shall deem appropriate.</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by an instrument in writing, appoint a temporary chairman (which may be the Trustee) of the meeting, unless the meeting shall have been called by the Company or by holders of Securities of a given series as provided in Section 8.07(b) hereof, in which case the Company or the holders of Securities of such series calling the meeting, as the case may be, shall in like manner appoint a temporary chairman. A permanent chairman and a permanent secretary of the meeting shall be elected by vote of the Persons entitled to vote a majority in principal amount of the Outstanding Securities of such series represented at the meeting.</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meeting, each holder of a Security of the series in respect of which such meeting is being held or proxy shall be entitled to one vote for each $1,000 principal amount of Securities of such series held or represented by him; provided, however, that no vote shall be cast or counted at any meeting in respect of any Security of such series challenged as not Outstanding and ruled by the chairman of the meeting to be not Outstanding. The chairman of the meeting shall have no right to vote, except as a holder of a Security of such series or proxy.</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meeting of holders of Securities duly called pursuant to Section 8.07 hereof at which a quorum is present may be adjourned from time to time by Persons entitled to vote a majority in principal amount of the Outstanding Securities of the series in respect of which such meeting is being held represented at the meeting, and the meeting may be held as so adjourned without further notice.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color w:val="auto"/>
        </w:rPr>
        <w:t>SECTION 8.11 Counting Votes and Recording Action of Meetings.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vote upon any resolution submitted to any meeting of holders of Securities of a given series shall be by written ballots on which shall be subscribed the signatures of the holders of Securities of such series or of their representatives by proxy and the principal amounts and serial numbers of the Outstanding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at least in duplicate, of the proceedings of each meeting of holders of Securities of such series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given as provided in Section 8.07 hereof and, if applicable, Section 8.09 hereof. Each copy shall be signed and verified by the affidavits of the permanent chairman and secretary of the meeting and one such copy shall be delivered to the Company and another to the Trustee to be preserved by the Trustee, the latter to have attached thereto the ballots voted at the meeting. Any record so signed and verified shall be conclusive evidence of the matters therein stated.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IX</w:t>
      </w:r>
    </w:p>
    <w:p>
      <w:pPr>
        <w:spacing w:after="0" w:line="22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SUPPLEMENTAL INDENTURES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9.01 Supplemental Indentures Without the Consent of Securityholders.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w:t>
      </w:r>
    </w:p>
    <w:p>
      <w:pPr>
        <w:spacing w:after="0" w:line="176" w:lineRule="exact"/>
        <w:rPr>
          <w:sz w:val="20"/>
          <w:szCs w:val="20"/>
          <w:color w:val="auto"/>
        </w:rPr>
      </w:pPr>
    </w:p>
    <w:p>
      <w:pPr>
        <w:jc w:val="both"/>
        <w:ind w:left="340" w:hanging="332"/>
        <w:spacing w:after="0" w:line="266" w:lineRule="auto"/>
        <w:tabs>
          <w:tab w:leader="none" w:pos="3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 any ambiguity, correct or supplement any provision herein which may be inconsistent with any other provision herein or which is otherwise defective, or make any other provisions with respect to matters or questions arising under this Indenture which the Company and the Trustee may deem necessary or desirable and which shall not be inconsistent with the provisions of this Indenture;</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Article X;</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Securities, as herein set forth;</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Securityholder in any material respect;</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the Securities of any series as provided in Section 2.01, to establish the form of any certifications required to be furnished pursuant to the terms of this Indenture or any series of Securities, or to add to the rights of the holders of any series of Securities; or</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color w:val="auto"/>
        </w:rPr>
        <w:t>(h) comply with the requirements of the Commission in order to effect or maintain the qualification of this Indenture under the Trust Indenture Act.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Any supplemental indenture authorized by the provisions of this Section may be executed by the Company and the Trustee without the consent of the holders of any of the Securities at the time Outstanding, notwithstanding any of the provisions of Section 9.02.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9.02 Supplemental Indentures With Consent of Securityholders.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With the written consent of the holders of at least a majority in aggregate principal amount of the Outstanding Securities of any series or by action at a meeting of holders of the Securities of such series in accordance with Section 8.09, by the holders of a majority in aggregate principal amount of the Securities of such series then Outstanding represented at such meeting, the Company, when authorized by Board Resolutions,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Section 9.01 the rights of the holders of the Securities of such series under this Indenture; provided, however, that no such supplemental indenture shall, without the consent of the holders of each Security then Outstanding and affected thereby, (i) extend the fixed maturity of any Securities of any series, or reduce the principal amount thereof, or reduce the rate or extend the time of payment of interest thereon, or reduce any premium payable upon the redemption thereof, (ii) reduce the aforesaid percentage of Securities, the holders of which are required to consent to any such supplemental indenture, or any consent or waiver, (iii) reduce the principal amount of discount securities payable upon acceleration of the maturity of any Securities of any series or (iv) make the principal of or premium or interest on any Security of a series payable in currency or currency units other than that stated in the Securities of such series.</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 shall not be necessary for the consent of the Securityholders of any series affected thereby under this Section to approve the particular form of any proposed supplemental indenture, but it shall be sufficient if such consent shall approve the substance thereof.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9.03 Effect of Supplemental Indentures.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the execution of any supplemental indenture pursuant to the provisions of this Article or of Section 10.01,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color w:val="auto"/>
        </w:rPr>
        <w:t>SECTION 9.04 Securities Affected by Supplemental Indentures.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Securities of any series affected by a supplemental indenture, authenticated and delivered after the execution of such supplemental indenture pursuant to the provisions of this Article or of Section 10.01, may bear a notation in form approved by the Company, provided such form meets the requirements of any exchange upon which such series may be listed, as to any matter provided for in such supplemental indenture. If the Company shall so determine, new Securities of that series so modified as to conform, in the opinion of the Board of Directors of the Company, to any modification of this Indenture contained in any such supplemental indenture may be prepared by the Company, authenticated by the Trustee and delivered in exchange for the Securities of that series then Outstanding.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9.05 Execution of Supplemental Indentures.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7.01, may receive an Opinion of Counsel as conclusive evidence that any supplemental indenture executed pursuant to this Article is authorized or permitted by, and conforms to, the terms of this Article and that it is proper for the Trustee under the provisions of this Article to join in the execution thereof; provided, however, that such Opinion of Counsel need not be provided in connection with the execution of a supplemental indenture that establishes the terms of a series of Securities pursuant to Section 2.01 hereof.</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Promptly after the execution by the Company and the Trustee of any supplemental indenture pursuant to the provisions of this Section, the Trustee shall transmit by mail, first class postage prepaid, a notice, setting forth in general terms the substance of such supplemental indenture, to the Securityholders of all series affected thereby as their names and addresses appear upon the Security Register. Any failure of the Trustee to mail such notice, or any defect therein, shall not, however, in any way impair or affect the validity of any such supplemental indenture.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SUCCESSOR ENTITY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10.01 Company May Consolidate, Etc.</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Nothing contained in this Indenture or in any of the Securities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corporation (whether or not affiliated with the Company or its successor or successors) authorized to acquire and operate the same; provided, however, the Company hereby covenants and agrees that, upon any such consolidation or merger (in each case, if the Company is not the survivor of such transaction), sale, conveyance, transfer or other disposition,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Section 2.01 to be kept or performed by the Company shall be expressly assumed, by supplemental indenture (which shall conform to the provisions of the Trust Indenture Act, as then in effect) satisfactory in form to the Trustee executed and delivered to the Trustee by the entity formed by such consolidation, or into which the Company shall have been merged, or by the entity which shall have acquired such property.</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color w:val="auto"/>
        </w:rPr>
        <w:t>SECTION 10.02 Successor Entity Substituted.</w:t>
      </w:r>
    </w:p>
    <w:p>
      <w:pPr>
        <w:spacing w:after="0" w:line="225" w:lineRule="exact"/>
        <w:rPr>
          <w:sz w:val="20"/>
          <w:szCs w:val="20"/>
          <w:color w:val="auto"/>
        </w:rPr>
      </w:pPr>
    </w:p>
    <w:p>
      <w:pPr>
        <w:jc w:val="both"/>
        <w:ind w:left="340" w:hanging="332"/>
        <w:spacing w:after="0" w:line="256" w:lineRule="auto"/>
        <w:tabs>
          <w:tab w:leader="none" w:pos="3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any such consolidation, merger, sale, conveyance, transfer or other disposition and upon the assumption by the successor entity by supplemental indenture, executed and delivered to the Trustee and satisfactory in form to the Trustee, of the due and punctual payment of the principal of, premium, if any, and interest on all of the Securities of all series Outstanding and the due and punctual performance of all of the covenants and conditions of this Indenture or established with respect to each series of the Securities pursuant to Section 2.01 to be performed by the Company with respect to each series,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spacing w:after="0" w:line="187"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any such consolidation, merger, sale, conveyance, transfer or other disposition such changes in phraseology and form (but not in substance) may be made in the Securities thereafter to be issued as may be appropriate.</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10.03 Evidence of Consolidation, Etc. to Trustee.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Trustee, subject to the provisions of Section 7.01, may receive an Opinion of Counsel as conclusive evidence that any such consolidation, merger, sale, conveyance, transfer or other disposition, and any such assumption, comply with the provisions of this Article.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SATISFACTION AND DISCHARGE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11.01 Satisfaction and Discharge of Indenture.</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at any time: (a) the Company shall have delivered to the Trustee for cancellation all Securities of a series theretofore authenticated (other than any Securities that shall have been destroyed, lost or stolen and that shall have been replaced or paid as provided in Section 2.07) and Securities for whose payment money or Governmental Obligations have theretofore been deposited in trust or segregated and held in trust by the Company (and thereupon repaid to the Company or discharged from such trust, as provided in Section 11.05); or (b) 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sufficient or a combination thereof, sufficient (assuming that no tax liability will be imposed on the Trustee)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Sections 2.03, 2.05, 2.07, 4.01, 4.02, 4.03 and 7.10, that shall survive until the date of maturity or redemption date, as the case may be, and Sections 7.06 and 11.05, that shall survive to such date and thereafter, and the Trustee, on demand of the Company and at the cost and expense of the Company shall execute proper instruments acknowledging satisfaction of and discharging this Indenture with respect to such series.</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color w:val="auto"/>
        </w:rPr>
        <w:t>SECTION 11.02 Discharge of Obligations.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at any time all such Securities of a particular series not heretofore delivered to the Trustee for cancellation or that have not become due and payable as described in Section 11.01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Sections 2.03, 2.05, 2.07, 4,01, 4.02, 4.03, 7.06, 7.10 and 11.05 hereof that shall survive until such Securities shall mature and be paid thereafter, Sections 7.06 and 11.05 shall survive.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11.03 Deposited Moneys to be Held in Trust.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Section 11.05, all moneys or Governmental Obligations deposited with the Trustee pursuant to Sections 11.01 or 11.02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11.04 Payment of Moneys Held by Paying Agents.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11.05 Repayment to Company.</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moneys or Governmental Obligations deposited with any paying agent or the Trustee, or then held by the Company, in trust for payment of principal of or premium or interest on the Securities of a particular series that are not applied but remain unclaimed by the holders of such Securities for two years after the date upon which the principal of (and premium, if any) or interest on such Securities shall have respectively become due and payable, shall be repaid to the Company or (if then held by the Company) shall be discharged from such trust in each case, promptly after the end of any such two-year period or, at the request of the Company, on a later date specified by the Company; and thereupon the paying agent and the Trustee shall be released from all further liability with respect to such moneys or Governmental Obligations, and the holder of any of the Securities entitled to receive such payment shall thereafter, as an unsecured general creditor, look only to the Company for the payment thereof.</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color w:val="auto"/>
        </w:rPr>
        <w:t>ARTICLE XII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IMMUNITY OF INCORPORATORS, STOCKHOLDERS, OFFICERS AND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12.01 No Recourse.</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 PROVISIONS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13.01 Effect on Successors and Assigns.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the covenants, stipulations, promises and agreements in this Indenture contained by or on behalf of the Company shall bind its successors and assigns, whether so expressed or not.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13.02 Actions by Successor.</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13.03 Surrender of Company Powers.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color w:val="auto"/>
        </w:rPr>
        <w:t>SECTION 13.04 Notices.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Except as otherwise expressly provided herein any notice or demand that by any provision of this Indenture is required or permitted to be given or served by the Trustee or by the holders of Securities to or on the Company may be given or served by being deposited first class postage prepaid in a post-office letterbox addressed (until another address is filed in writing by the Company with the Trustee), as follows: KALA BIO, Inc., Attn: [ ], 1167 Massachusetts Avenue, Arlington, MA 02476. Any notice, election, request or demand by the Company or any Securityholder to or upon the Trustee shall be deemed to have been sufficiently given or made, for all purposes, if given or made in writing at the Corporate Trust Office of the Trustee. Any notice or communication to a holder shall be mailed by first-class mail to his address shown on the Security Register kept by the Security Registrar. Failure to mail a notice or communication to a holder or any defect in such notice or communication shall not affect its sufficiency with respect to other holders. If a notice or communication is mailed or sent in the manner provided above within the time prescribed, it is duly given as of the date it is mailed, whether or not the addressee receives it, except that notice to the Trustee or the Company shall only be effective upon receipt thereof by the Trustee or the Company, respectively. If the Company mails a notice or communication to holders of Securities, it shall mail a copy to the Trustee at the same time.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13.05 Governing Law.</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Indenture and each Security shall be deemed to be a contract made under the internal laws of the State of New York, and for all purposes shall be construed in accordance with the laws of said State.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13.06 Treatment of Securities as Debt.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 is intended that the Securities will be treated as indebtedness and not as equity for federal income tax purposes. The provisions of this Indenture shall be interpreted to further this intention.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13.07 Compliance Certificates and Opinions.</w:t>
      </w:r>
    </w:p>
    <w:p>
      <w:pPr>
        <w:spacing w:after="0" w:line="225" w:lineRule="exact"/>
        <w:rPr>
          <w:sz w:val="20"/>
          <w:szCs w:val="20"/>
          <w:color w:val="auto"/>
        </w:rPr>
      </w:pPr>
    </w:p>
    <w:p>
      <w:pPr>
        <w:jc w:val="both"/>
        <w:ind w:left="340" w:hanging="332"/>
        <w:spacing w:after="0" w:line="258" w:lineRule="auto"/>
        <w:tabs>
          <w:tab w:leader="none" w:pos="3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application or demand by the Company to the Trustee to take any action under any of the provisions of this Indenture, the Company, shall furnish to the Trustee an Officers’ Certificate stating that all conditions precedent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57" w:lineRule="auto"/>
        <w:tabs>
          <w:tab w:leader="none" w:pos="3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certificate or opinion provided for in this Indenture and delivered to the Trustee with respect to compliance with a condition or covenant in this Indenture shall include (1) a statement that the Person making such certificate or opinion has read such covenant or condition; (2) a brief statement as to the nature and scope of the examination or investigation upon which the statements or opinions contained in such certificate or opinion are based;</w:t>
      </w:r>
    </w:p>
    <w:p>
      <w:pPr>
        <w:spacing w:after="0" w:line="1" w:lineRule="exact"/>
        <w:rPr>
          <w:rFonts w:ascii="Times New Roman" w:cs="Times New Roman" w:eastAsia="Times New Roman" w:hAnsi="Times New Roman"/>
          <w:sz w:val="18"/>
          <w:szCs w:val="18"/>
          <w:color w:val="auto"/>
        </w:rPr>
      </w:pPr>
    </w:p>
    <w:p>
      <w:pPr>
        <w:jc w:val="both"/>
        <w:ind w:left="3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a statement that, in the opinion of such Person, he has made such examination or investigation as is necessary to enable him to express an informed opinion as to whether or not such covenant or condition has been complied with; and (4) a statement as to whether or not, in the opinion of such Person, such condition or covenant has been complied with.</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13.08 Payments on Business Days.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Except as provided pursuant to Section 2.01 pursuant to a Board Resolution, and as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color w:val="auto"/>
        </w:rPr>
        <w:t>SECTION 13.09 Conflict with Trust Indenture Act.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and to the extent that any provision of this Indenture limits, qualifies or conflicts with the duties imposed by Sections 310 to 317, inclusive, of the Trust Indenture Act, such imposed duties shall control.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13.10 Counterparts.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Indenture may be executed in any number of counterparts, each of which shall be an original, but such counterparts shall together constitute but one and the same instrument.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13.11 Separability.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13.12 Assignment.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will have the right at all times to assign any of its rights or obligations under this Indenture to a direct or indirect wholly-owned Subsidiary of the Company, provided that, in the event of any such assignment, the Company, will remain liable for all such obligations. Subject to the foregoing, this Indenture is binding upon and inures to the benefit of the parties thereto and their respective successors and assigns. This Indenture may not otherwise be assigned by the parties thereto.</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color w:val="auto"/>
        </w:rPr>
        <w:t>IN WITNESS WHEREOF, the parties hereto have caused this Indenture to be duly executed all as of the day and year first above written.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KALA BIO,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Trustee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32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96" w:right="1440"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KALA BIO, INC.</w:t>
      </w:r>
    </w:p>
    <w:p>
      <w:pPr>
        <w:spacing w:after="0" w:line="22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Issuer</w:t>
      </w:r>
    </w:p>
    <w:p>
      <w:pPr>
        <w:spacing w:after="0" w:line="225"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4580" w:hanging="203"/>
        <w:spacing w:after="0"/>
        <w:tabs>
          <w:tab w:leader="none" w:pos="45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Trustee</w:t>
      </w:r>
    </w:p>
    <w:p>
      <w:pPr>
        <w:spacing w:after="0" w:line="22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22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Dated as of [  ]</w:t>
      </w:r>
    </w:p>
    <w:p>
      <w:pPr>
        <w:spacing w:after="0" w:line="22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Subordinated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920115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398"/>
        </w:trPr>
        <w:tc>
          <w:tcPr>
            <w:tcW w:w="4160" w:type="dxa"/>
            <w:vAlign w:val="bottom"/>
          </w:tcPr>
          <w:p>
            <w:pPr>
              <w:spacing w:after="0"/>
              <w:rPr>
                <w:sz w:val="24"/>
                <w:szCs w:val="24"/>
                <w:color w:val="auto"/>
              </w:rPr>
            </w:pPr>
          </w:p>
        </w:tc>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CROSS-REFERENCE TABLE</w:t>
            </w:r>
            <w:r>
              <w:rPr>
                <w:rFonts w:ascii="Times New Roman" w:cs="Times New Roman" w:eastAsia="Times New Roman" w:hAnsi="Times New Roman"/>
                <w:sz w:val="29"/>
                <w:szCs w:val="29"/>
                <w:b w:val="1"/>
                <w:bCs w:val="1"/>
                <w:color w:val="auto"/>
                <w:vertAlign w:val="superscript"/>
              </w:rPr>
              <w:t>(1)</w:t>
            </w:r>
          </w:p>
        </w:tc>
      </w:tr>
      <w:tr>
        <w:trPr>
          <w:trHeight w:val="287"/>
        </w:trPr>
        <w:tc>
          <w:tcPr>
            <w:tcW w:w="4160" w:type="dxa"/>
            <w:vAlign w:val="bottom"/>
          </w:tcPr>
          <w:p>
            <w:pPr>
              <w:spacing w:after="0"/>
              <w:rPr>
                <w:sz w:val="24"/>
                <w:szCs w:val="24"/>
                <w:color w:val="auto"/>
              </w:rPr>
            </w:pPr>
          </w:p>
        </w:tc>
        <w:tc>
          <w:tcPr>
            <w:tcW w:w="6960" w:type="dxa"/>
            <w:vAlign w:val="bottom"/>
          </w:tcPr>
          <w:p>
            <w:pPr>
              <w:ind w:left="6180"/>
              <w:spacing w:after="0"/>
              <w:rPr>
                <w:sz w:val="20"/>
                <w:szCs w:val="20"/>
                <w:color w:val="auto"/>
              </w:rPr>
            </w:pPr>
            <w:r>
              <w:rPr>
                <w:rFonts w:ascii="Times New Roman" w:cs="Times New Roman" w:eastAsia="Times New Roman" w:hAnsi="Times New Roman"/>
                <w:sz w:val="18"/>
                <w:szCs w:val="18"/>
                <w:b w:val="1"/>
                <w:bCs w:val="1"/>
                <w:color w:val="auto"/>
              </w:rPr>
              <w:t>Section of</w:t>
            </w:r>
          </w:p>
        </w:tc>
      </w:tr>
      <w:tr>
        <w:trPr>
          <w:trHeight w:val="238"/>
        </w:trPr>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of Trust Indenture Act of 1939, as Amended</w:t>
            </w:r>
          </w:p>
        </w:tc>
        <w:tc>
          <w:tcPr>
            <w:tcW w:w="6960" w:type="dxa"/>
            <w:vAlign w:val="bottom"/>
          </w:tcPr>
          <w:p>
            <w:pPr>
              <w:ind w:left="6200"/>
              <w:spacing w:after="0"/>
              <w:rPr>
                <w:sz w:val="20"/>
                <w:szCs w:val="20"/>
                <w:color w:val="auto"/>
              </w:rPr>
            </w:pPr>
            <w:r>
              <w:rPr>
                <w:rFonts w:ascii="Times New Roman" w:cs="Times New Roman" w:eastAsia="Times New Roman" w:hAnsi="Times New Roman"/>
                <w:sz w:val="18"/>
                <w:szCs w:val="18"/>
                <w:b w:val="1"/>
                <w:bCs w:val="1"/>
                <w:color w:val="auto"/>
                <w:w w:val="96"/>
              </w:rPr>
              <w:t>Indenture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46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310(a).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310(b).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310(c).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311(a).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311(b).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311(c).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312(a).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312(b).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312(c).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313(a).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313(b).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313(c).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313(d).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314(a).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314(b).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314(c).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314(d).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314(e).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314(f).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315(a).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315(b).</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315(c).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315(d).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315(e).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316(a).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316(b).</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316(c).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317(a).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317(b).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318(a).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7830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color w:val="auto"/>
        </w:rPr>
        <w:t>7.09</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-6572885</wp:posOffset>
            </wp:positionH>
            <wp:positionV relativeFrom="paragraph">
              <wp:posOffset>5715</wp:posOffset>
            </wp:positionV>
            <wp:extent cx="7132320" cy="1371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-6572885</wp:posOffset>
            </wp:positionH>
            <wp:positionV relativeFrom="paragraph">
              <wp:posOffset>24765</wp:posOffset>
            </wp:positionV>
            <wp:extent cx="7132320" cy="1371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7.13(a)</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7.13(b)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-6572885</wp:posOffset>
            </wp:positionH>
            <wp:positionV relativeFrom="paragraph">
              <wp:posOffset>13335</wp:posOffset>
            </wp:positionV>
            <wp:extent cx="7132320" cy="1371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Inapplicable</w:t>
      </w:r>
    </w:p>
    <w:p>
      <w:pPr>
        <w:spacing w:after="0" w:line="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5.02(a)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-6572885</wp:posOffset>
            </wp:positionH>
            <wp:positionV relativeFrom="paragraph">
              <wp:posOffset>5715</wp:posOffset>
            </wp:positionV>
            <wp:extent cx="7132320" cy="1371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60"/>
        <w:spacing w:after="0"/>
        <w:rPr>
          <w:sz w:val="20"/>
          <w:szCs w:val="20"/>
          <w:color w:val="auto"/>
        </w:rPr>
      </w:pPr>
      <w:r>
        <w:rPr>
          <w:rFonts w:ascii="Times New Roman" w:cs="Times New Roman" w:eastAsia="Times New Roman" w:hAnsi="Times New Roman"/>
          <w:sz w:val="17"/>
          <w:szCs w:val="17"/>
          <w:color w:val="auto"/>
        </w:rPr>
        <w:t>5.02(b)</w:t>
      </w:r>
    </w:p>
    <w:p>
      <w:pPr>
        <w:spacing w:after="0" w:line="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5.02(c)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-6572885</wp:posOffset>
            </wp:positionH>
            <wp:positionV relativeFrom="paragraph">
              <wp:posOffset>5715</wp:posOffset>
            </wp:positionV>
            <wp:extent cx="7132320" cy="1371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5.04(a)</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5.04(a)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-6572885</wp:posOffset>
            </wp:positionH>
            <wp:positionV relativeFrom="paragraph">
              <wp:posOffset>5715</wp:posOffset>
            </wp:positionV>
            <wp:extent cx="7132320" cy="1371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5.04(a)</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5.04(b)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-6572885</wp:posOffset>
            </wp:positionH>
            <wp:positionV relativeFrom="paragraph">
              <wp:posOffset>13335</wp:posOffset>
            </wp:positionV>
            <wp:extent cx="7132320" cy="1371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5.04(b)</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-6572885</wp:posOffset>
            </wp:positionH>
            <wp:positionV relativeFrom="paragraph">
              <wp:posOffset>5715</wp:posOffset>
            </wp:positionV>
            <wp:extent cx="7132320" cy="1371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7"/>
          <w:szCs w:val="17"/>
          <w:color w:val="auto"/>
        </w:rPr>
        <w:t>Inapplicable</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-6572885</wp:posOffset>
            </wp:positionH>
            <wp:positionV relativeFrom="paragraph">
              <wp:posOffset>5715</wp:posOffset>
            </wp:positionV>
            <wp:extent cx="7132320" cy="1371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7"/>
          <w:szCs w:val="17"/>
          <w:color w:val="auto"/>
        </w:rPr>
        <w:t>Inapplicable</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-6572885</wp:posOffset>
            </wp:positionH>
            <wp:positionV relativeFrom="paragraph">
              <wp:posOffset>5715</wp:posOffset>
            </wp:positionV>
            <wp:extent cx="7132320" cy="1371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7"/>
          <w:szCs w:val="17"/>
          <w:color w:val="auto"/>
        </w:rPr>
        <w:t>Inapplicable</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7.01(a)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-6572885</wp:posOffset>
            </wp:positionH>
            <wp:positionV relativeFrom="paragraph">
              <wp:posOffset>5715</wp:posOffset>
            </wp:positionV>
            <wp:extent cx="7132320" cy="1371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7.02</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-6572885</wp:posOffset>
            </wp:positionH>
            <wp:positionV relativeFrom="paragraph">
              <wp:posOffset>5715</wp:posOffset>
            </wp:positionV>
            <wp:extent cx="7132320" cy="1371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7.01</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7.01(b)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-6572885</wp:posOffset>
            </wp:positionH>
            <wp:positionV relativeFrom="paragraph">
              <wp:posOffset>5715</wp:posOffset>
            </wp:positionV>
            <wp:extent cx="7132320" cy="1371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7.01(c)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-6572885</wp:posOffset>
            </wp:positionH>
            <wp:positionV relativeFrom="paragraph">
              <wp:posOffset>5715</wp:posOffset>
            </wp:positionV>
            <wp:extent cx="7132320" cy="1371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6.06</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-6572885</wp:posOffset>
            </wp:positionH>
            <wp:positionV relativeFrom="paragraph">
              <wp:posOffset>5715</wp:posOffset>
            </wp:positionV>
            <wp:extent cx="7132320" cy="1371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6.04</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-6572885</wp:posOffset>
            </wp:positionH>
            <wp:positionV relativeFrom="paragraph">
              <wp:posOffset>5715</wp:posOffset>
            </wp:positionV>
            <wp:extent cx="7132320" cy="1371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6.02</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-6572885</wp:posOffset>
            </wp:positionH>
            <wp:positionV relativeFrom="paragraph">
              <wp:posOffset>5715</wp:posOffset>
            </wp:positionV>
            <wp:extent cx="7132320" cy="1371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13.08</w:t>
      </w:r>
    </w:p>
    <w:p>
      <w:pPr>
        <w:spacing w:after="0" w:line="200" w:lineRule="exact"/>
        <w:rPr>
          <w:sz w:val="20"/>
          <w:szCs w:val="20"/>
          <w:color w:val="auto"/>
        </w:rPr>
      </w:pPr>
    </w:p>
    <w:p>
      <w:pPr>
        <w:sectPr>
          <w:pgSz w:w="11900" w:h="16838" w:orient="portrait"/>
          <w:cols w:equalWidth="0" w:num="2">
            <w:col w:w="9640" w:space="720"/>
            <w:col w:w="880"/>
          </w:cols>
          <w:pgMar w:left="320" w:top="796" w:right="339" w:bottom="1440" w:gutter="0" w:footer="0" w:header="0"/>
          <w:type w:val="continuous"/>
        </w:sectPr>
      </w:pPr>
    </w:p>
    <w:p>
      <w:pPr>
        <w:spacing w:after="0" w:line="34" w:lineRule="exact"/>
        <w:rPr>
          <w:sz w:val="20"/>
          <w:szCs w:val="20"/>
          <w:color w:val="auto"/>
        </w:rPr>
      </w:pPr>
    </w:p>
    <w:p>
      <w:pPr>
        <w:ind w:left="340" w:hanging="332"/>
        <w:spacing w:after="0" w:line="195" w:lineRule="auto"/>
        <w:tabs>
          <w:tab w:leader="none" w:pos="340" w:val="left"/>
        </w:tabs>
        <w:numPr>
          <w:ilvl w:val="0"/>
          <w:numId w:val="8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This Cross-Reference Table does not constitute part of the Indenture and shall not have any bearing on the interpretation of any of its terms or provisions.</w:t>
      </w: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96" w:name="page97"/>
    <w:bookmarkEnd w:id="96"/>
    <w:tbl>
      <w:tblPr>
        <w:tblLayout w:type="fixed"/>
        <w:tblInd w:w="0" w:type="dxa"/>
        <w:tblCellMar>
          <w:top w:w="0" w:type="dxa"/>
          <w:left w:w="0" w:type="dxa"/>
          <w:bottom w:w="0" w:type="dxa"/>
          <w:right w:w="0" w:type="dxa"/>
        </w:tblCellMar>
      </w:tblPr>
      <w:tr>
        <w:trPr>
          <w:trHeight w:val="398"/>
        </w:trPr>
        <w:tc>
          <w:tcPr>
            <w:tcW w:w="1520" w:type="dxa"/>
            <w:vAlign w:val="bottom"/>
          </w:tcPr>
          <w:p>
            <w:pPr>
              <w:spacing w:after="0"/>
              <w:rPr>
                <w:sz w:val="24"/>
                <w:szCs w:val="24"/>
                <w:color w:val="auto"/>
              </w:rPr>
            </w:pPr>
          </w:p>
        </w:tc>
        <w:tc>
          <w:tcPr>
            <w:tcW w:w="8760" w:type="dxa"/>
            <w:vAlign w:val="bottom"/>
          </w:tcPr>
          <w:p>
            <w:pPr>
              <w:ind w:left="3060"/>
              <w:spacing w:after="0"/>
              <w:rPr>
                <w:sz w:val="20"/>
                <w:szCs w:val="20"/>
                <w:color w:val="auto"/>
              </w:rPr>
            </w:pPr>
            <w:r>
              <w:rPr>
                <w:rFonts w:ascii="Times New Roman" w:cs="Times New Roman" w:eastAsia="Times New Roman" w:hAnsi="Times New Roman"/>
                <w:sz w:val="18"/>
                <w:szCs w:val="18"/>
                <w:b w:val="1"/>
                <w:bCs w:val="1"/>
                <w:color w:val="auto"/>
              </w:rPr>
              <w:t>TABLE OF CONTENTS</w:t>
            </w:r>
            <w:r>
              <w:rPr>
                <w:rFonts w:ascii="Times New Roman" w:cs="Times New Roman" w:eastAsia="Times New Roman" w:hAnsi="Times New Roman"/>
                <w:sz w:val="29"/>
                <w:szCs w:val="29"/>
                <w:b w:val="1"/>
                <w:bCs w:val="1"/>
                <w:color w:val="auto"/>
                <w:vertAlign w:val="superscript"/>
              </w:rPr>
              <w:t>(2)</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1520" w:type="dxa"/>
            <w:vAlign w:val="bottom"/>
          </w:tcPr>
          <w:p>
            <w:pPr>
              <w:spacing w:after="0"/>
              <w:rPr>
                <w:sz w:val="8"/>
                <w:szCs w:val="8"/>
                <w:color w:val="auto"/>
              </w:rPr>
            </w:pPr>
          </w:p>
        </w:tc>
        <w:tc>
          <w:tcPr>
            <w:tcW w:w="87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w:t>
            </w:r>
          </w:p>
        </w:tc>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DEFINITIONS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1.01</w:t>
            </w:r>
          </w:p>
        </w:tc>
        <w:tc>
          <w:tcPr>
            <w:tcW w:w="8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Definitions of Terms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18"/>
                <w:szCs w:val="18"/>
                <w:color w:val="auto"/>
              </w:rPr>
            </w:pPr>
          </w:p>
        </w:tc>
        <w:tc>
          <w:tcPr>
            <w:tcW w:w="87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ARTICLE II</w:t>
            </w:r>
          </w:p>
        </w:tc>
        <w:tc>
          <w:tcPr>
            <w:tcW w:w="8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ISSUE, DESCRIPTION, TERMS, EXECUTION, REGISTRATION AND EXCHANGE OF SECURITIES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2.01</w:t>
            </w:r>
          </w:p>
        </w:tc>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Designation and Terms of Securities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2.02</w:t>
            </w:r>
          </w:p>
        </w:tc>
        <w:tc>
          <w:tcPr>
            <w:tcW w:w="8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of Securities and Trustee’s Certificate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2.03</w:t>
            </w:r>
          </w:p>
        </w:tc>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Denominations: Provisions for Payment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2.04</w:t>
            </w:r>
          </w:p>
        </w:tc>
        <w:tc>
          <w:tcPr>
            <w:tcW w:w="8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Execution and Authentications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2.05</w:t>
            </w:r>
          </w:p>
        </w:tc>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Registration of Transfer and Exchange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2.06</w:t>
            </w:r>
          </w:p>
        </w:tc>
        <w:tc>
          <w:tcPr>
            <w:tcW w:w="8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Temporary Securities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2.07</w:t>
            </w:r>
          </w:p>
        </w:tc>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Mutilated, Destroyed, Lost or Stolen Securities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2.08</w:t>
            </w:r>
          </w:p>
        </w:tc>
        <w:tc>
          <w:tcPr>
            <w:tcW w:w="8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Cancellation</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2.09</w:t>
            </w:r>
          </w:p>
        </w:tc>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Benefits of Indenture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2.10</w:t>
            </w:r>
          </w:p>
        </w:tc>
        <w:tc>
          <w:tcPr>
            <w:tcW w:w="8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Authenticating Agent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2.11</w:t>
            </w:r>
          </w:p>
        </w:tc>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Global Securities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III</w:t>
            </w:r>
          </w:p>
        </w:tc>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REDEMPTION OF SECURITIES AND SINKING FUND PROVISIONS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3.01</w:t>
            </w:r>
          </w:p>
        </w:tc>
        <w:tc>
          <w:tcPr>
            <w:tcW w:w="8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Redemption</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3.02</w:t>
            </w:r>
          </w:p>
        </w:tc>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Notice of Redemption</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3.03</w:t>
            </w:r>
          </w:p>
        </w:tc>
        <w:tc>
          <w:tcPr>
            <w:tcW w:w="8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 Upon Redemption</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3.04</w:t>
            </w:r>
          </w:p>
        </w:tc>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Sinking Fund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3.05</w:t>
            </w:r>
          </w:p>
        </w:tc>
        <w:tc>
          <w:tcPr>
            <w:tcW w:w="8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Satisfaction of Sinking Fund Payments with Securities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3.06</w:t>
            </w:r>
          </w:p>
        </w:tc>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Redemption of Securities for Sinking Fund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IV</w:t>
            </w:r>
          </w:p>
        </w:tc>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COVENANTS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4.01</w:t>
            </w:r>
          </w:p>
        </w:tc>
        <w:tc>
          <w:tcPr>
            <w:tcW w:w="8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 of Principal, Premium and Interest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4.02</w:t>
            </w:r>
          </w:p>
        </w:tc>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Maintenance of Office or Agency</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4.03</w:t>
            </w:r>
          </w:p>
        </w:tc>
        <w:tc>
          <w:tcPr>
            <w:tcW w:w="8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Paying Agents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4.04</w:t>
            </w:r>
          </w:p>
        </w:tc>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Appointment to Fill Vacancy in Office of Trustee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4.05</w:t>
            </w:r>
          </w:p>
        </w:tc>
        <w:tc>
          <w:tcPr>
            <w:tcW w:w="8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Compliance with Consolidation Provisions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18"/>
                <w:szCs w:val="18"/>
                <w:color w:val="auto"/>
              </w:rPr>
            </w:pPr>
          </w:p>
        </w:tc>
        <w:tc>
          <w:tcPr>
            <w:tcW w:w="87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ARTICLE V</w:t>
            </w:r>
          </w:p>
        </w:tc>
        <w:tc>
          <w:tcPr>
            <w:tcW w:w="8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SECURITYHOLDERS’ LISTS AND REPORTS BY THE COMPANY AND THE TRUSTEE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5.01</w:t>
            </w:r>
          </w:p>
        </w:tc>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Company to Furnish Trustee Names and Addresses of Securityholders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5.02</w:t>
            </w:r>
          </w:p>
        </w:tc>
        <w:tc>
          <w:tcPr>
            <w:tcW w:w="8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Preservation of Information; Communications with Securityholders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5.03</w:t>
            </w:r>
          </w:p>
        </w:tc>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Reports by the Company</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5.04</w:t>
            </w:r>
          </w:p>
        </w:tc>
        <w:tc>
          <w:tcPr>
            <w:tcW w:w="8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Reports by the Trustee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18"/>
                <w:szCs w:val="18"/>
                <w:color w:val="auto"/>
              </w:rPr>
            </w:pPr>
          </w:p>
        </w:tc>
        <w:tc>
          <w:tcPr>
            <w:tcW w:w="87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ARTICLE VI</w:t>
            </w:r>
          </w:p>
        </w:tc>
        <w:tc>
          <w:tcPr>
            <w:tcW w:w="8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REMEDIES OF THE TRUSTEE AND SECURITYHOLDERS ON EVENT OF DEFAULT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6.01</w:t>
            </w:r>
          </w:p>
        </w:tc>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Events of Default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6.02</w:t>
            </w:r>
          </w:p>
        </w:tc>
        <w:tc>
          <w:tcPr>
            <w:tcW w:w="8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Collection of Indebtedness and Suits for Enforcement by Trustee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6.03</w:t>
            </w:r>
          </w:p>
        </w:tc>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Application of Moneys Collected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6.04</w:t>
            </w:r>
          </w:p>
        </w:tc>
        <w:tc>
          <w:tcPr>
            <w:tcW w:w="8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Limitation on Suits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6.05</w:t>
            </w:r>
          </w:p>
        </w:tc>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Rights and Remedies Cumulative; Delay or Omission Not Waiver</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6.06</w:t>
            </w:r>
          </w:p>
        </w:tc>
        <w:tc>
          <w:tcPr>
            <w:tcW w:w="8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Control by Securityholders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6.07</w:t>
            </w:r>
          </w:p>
        </w:tc>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Undertaking to Pay Costs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16"/>
        </w:trPr>
        <w:tc>
          <w:tcPr>
            <w:tcW w:w="1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VII</w:t>
            </w:r>
          </w:p>
        </w:tc>
        <w:tc>
          <w:tcPr>
            <w:tcW w:w="8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CONCERNING THE TRUSTEE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SECTION</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7.01</w:t>
            </w:r>
          </w:p>
        </w:tc>
        <w:tc>
          <w:tcPr>
            <w:tcW w:w="8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Certain Duties and Responsibilities of Trustee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SECTION</w:t>
            </w: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7.02</w:t>
            </w:r>
          </w:p>
        </w:tc>
        <w:tc>
          <w:tcPr>
            <w:tcW w:w="8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Certain Rights of Trustee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SECTION</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7.03</w:t>
            </w:r>
          </w:p>
        </w:tc>
        <w:tc>
          <w:tcPr>
            <w:tcW w:w="8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Trustee Not Responsible for Recitals or Issuance of Securities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SECTION</w:t>
            </w: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7.04</w:t>
            </w:r>
          </w:p>
        </w:tc>
        <w:tc>
          <w:tcPr>
            <w:tcW w:w="8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May Hold Securities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SECTION</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7.05</w:t>
            </w:r>
          </w:p>
        </w:tc>
        <w:tc>
          <w:tcPr>
            <w:tcW w:w="8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Moneys Held in Trust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SECTION</w:t>
            </w: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7.06</w:t>
            </w:r>
          </w:p>
        </w:tc>
        <w:tc>
          <w:tcPr>
            <w:tcW w:w="8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Compensation and Reimbursement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SECTION</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7.07</w:t>
            </w:r>
          </w:p>
        </w:tc>
        <w:tc>
          <w:tcPr>
            <w:tcW w:w="8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Reliance on Officers’ Certificate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SECTION</w:t>
            </w: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7.08</w:t>
            </w:r>
          </w:p>
        </w:tc>
        <w:tc>
          <w:tcPr>
            <w:tcW w:w="8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Disqualification; Conflicting Interests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SECTION</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7.09</w:t>
            </w:r>
          </w:p>
        </w:tc>
        <w:tc>
          <w:tcPr>
            <w:tcW w:w="8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Corporate Trustee Required; Eligibility</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SECTION</w:t>
            </w: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7.10</w:t>
            </w:r>
          </w:p>
        </w:tc>
        <w:tc>
          <w:tcPr>
            <w:tcW w:w="8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Resignation and Removal; Appointment of Successor</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SECTION</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7.11</w:t>
            </w:r>
          </w:p>
        </w:tc>
        <w:tc>
          <w:tcPr>
            <w:tcW w:w="8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Acceptance of Appointment By Successor</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SECTION</w:t>
            </w: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7.12</w:t>
            </w:r>
          </w:p>
        </w:tc>
        <w:tc>
          <w:tcPr>
            <w:tcW w:w="8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Merger, Conversion, Consolidation or Succession to Business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SECTION</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7.13</w:t>
            </w:r>
          </w:p>
        </w:tc>
        <w:tc>
          <w:tcPr>
            <w:tcW w:w="8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Preferential Collection of Claims Against the Company</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gridSpan w:val="2"/>
            <w:shd w:val="clear" w:color="auto" w:fill="CCEEFF"/>
          </w:tcPr>
          <w:p>
            <w:pPr>
              <w:spacing w:after="0"/>
              <w:rPr>
                <w:sz w:val="18"/>
                <w:szCs w:val="18"/>
                <w:color w:val="auto"/>
              </w:rPr>
            </w:pPr>
          </w:p>
        </w:tc>
        <w:tc>
          <w:tcPr>
            <w:tcW w:w="8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gridSpan w:val="2"/>
          </w:tcPr>
          <w:p>
            <w:pPr>
              <w:jc w:val="center"/>
              <w:ind w:right="430"/>
              <w:spacing w:after="0"/>
              <w:rPr>
                <w:sz w:val="20"/>
                <w:szCs w:val="20"/>
                <w:color w:val="auto"/>
              </w:rPr>
            </w:pPr>
            <w:r>
              <w:rPr>
                <w:rFonts w:ascii="Times New Roman" w:cs="Times New Roman" w:eastAsia="Times New Roman" w:hAnsi="Times New Roman"/>
                <w:sz w:val="18"/>
                <w:szCs w:val="18"/>
                <w:color w:val="auto"/>
              </w:rPr>
              <w:t>ARTICLE VIII</w:t>
            </w:r>
          </w:p>
        </w:tc>
        <w:tc>
          <w:tcPr>
            <w:tcW w:w="8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CONCERNING THE SECURITYHOLDERS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SECTION</w:t>
            </w: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8.01</w:t>
            </w:r>
          </w:p>
        </w:tc>
        <w:tc>
          <w:tcPr>
            <w:tcW w:w="8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Evidence of Action by Securityholders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SECTION</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8.02</w:t>
            </w:r>
          </w:p>
        </w:tc>
        <w:tc>
          <w:tcPr>
            <w:tcW w:w="8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Proof of Execution by Securityholders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SECTION</w:t>
            </w: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8.03</w:t>
            </w:r>
          </w:p>
        </w:tc>
        <w:tc>
          <w:tcPr>
            <w:tcW w:w="8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Who May be Deemed Owners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SECTION</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8.04</w:t>
            </w:r>
          </w:p>
        </w:tc>
        <w:tc>
          <w:tcPr>
            <w:tcW w:w="8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Certain Securities Owned by Company Disregarded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SECTION</w:t>
            </w: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8.05</w:t>
            </w:r>
          </w:p>
        </w:tc>
        <w:tc>
          <w:tcPr>
            <w:tcW w:w="8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Actions Binding on Future Securityholders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SECTION</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8.06</w:t>
            </w:r>
          </w:p>
        </w:tc>
        <w:tc>
          <w:tcPr>
            <w:tcW w:w="8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Purposes for Which Meetings May Be Called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SECTION</w:t>
            </w: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8.07</w:t>
            </w:r>
          </w:p>
        </w:tc>
        <w:tc>
          <w:tcPr>
            <w:tcW w:w="8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Call Notice and Place of Meetings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SECTION</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8.08</w:t>
            </w:r>
          </w:p>
        </w:tc>
        <w:tc>
          <w:tcPr>
            <w:tcW w:w="8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Persons Entitled To Vote at Meetings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SECTION</w:t>
            </w: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8.09</w:t>
            </w:r>
          </w:p>
        </w:tc>
        <w:tc>
          <w:tcPr>
            <w:tcW w:w="8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Quorum; Action</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SECTION</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8.10</w:t>
            </w:r>
          </w:p>
        </w:tc>
        <w:tc>
          <w:tcPr>
            <w:tcW w:w="8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Determination of Voting Rights; Conduct and Adjournment of Meetings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SECTION</w:t>
            </w: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8.11</w:t>
            </w:r>
          </w:p>
        </w:tc>
        <w:tc>
          <w:tcPr>
            <w:tcW w:w="8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Counting Votes and Recording Action of Meetings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gridSpan w:val="2"/>
          </w:tcPr>
          <w:p>
            <w:pPr>
              <w:spacing w:after="0"/>
              <w:rPr>
                <w:sz w:val="18"/>
                <w:szCs w:val="18"/>
                <w:color w:val="auto"/>
              </w:rPr>
            </w:pPr>
          </w:p>
        </w:tc>
        <w:tc>
          <w:tcPr>
            <w:tcW w:w="8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IX</w:t>
            </w:r>
          </w:p>
        </w:tc>
        <w:tc>
          <w:tcPr>
            <w:tcW w:w="8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SUPPLEMENTAL INDENTURES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SECTION</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9.01</w:t>
            </w:r>
          </w:p>
        </w:tc>
        <w:tc>
          <w:tcPr>
            <w:tcW w:w="8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Supplemental Indentures Without the Consent of Securityholders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SECTION</w:t>
            </w: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9.02</w:t>
            </w:r>
          </w:p>
        </w:tc>
        <w:tc>
          <w:tcPr>
            <w:tcW w:w="8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Supplemental Indentures With Consent of Securityholders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SECTION</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9.03</w:t>
            </w:r>
          </w:p>
        </w:tc>
        <w:tc>
          <w:tcPr>
            <w:tcW w:w="8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Effect of Supplemental Indentures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SECTION</w:t>
            </w: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9.04</w:t>
            </w:r>
          </w:p>
        </w:tc>
        <w:tc>
          <w:tcPr>
            <w:tcW w:w="8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Securities Affected by Supplemental Indentures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SECTION</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9.05</w:t>
            </w:r>
          </w:p>
        </w:tc>
        <w:tc>
          <w:tcPr>
            <w:tcW w:w="8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Execution of Supplemental Indentures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ARTICLE X</w:t>
            </w:r>
          </w:p>
        </w:tc>
        <w:tc>
          <w:tcPr>
            <w:tcW w:w="680" w:type="dxa"/>
            <w:vAlign w:val="bottom"/>
          </w:tcPr>
          <w:p>
            <w:pPr>
              <w:spacing w:after="0"/>
              <w:rPr>
                <w:sz w:val="18"/>
                <w:szCs w:val="18"/>
                <w:color w:val="auto"/>
              </w:rPr>
            </w:pPr>
          </w:p>
        </w:tc>
        <w:tc>
          <w:tcPr>
            <w:tcW w:w="8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SUCCESSOR ENTITY</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SECTION</w:t>
            </w: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10.01</w:t>
            </w:r>
          </w:p>
        </w:tc>
        <w:tc>
          <w:tcPr>
            <w:tcW w:w="8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Company May Consolidate, Etc</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SECTION</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10.02</w:t>
            </w:r>
          </w:p>
        </w:tc>
        <w:tc>
          <w:tcPr>
            <w:tcW w:w="8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Successor Entity Substituted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SECTION</w:t>
            </w: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10.03</w:t>
            </w:r>
          </w:p>
        </w:tc>
        <w:tc>
          <w:tcPr>
            <w:tcW w:w="8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Evidence of Consolidation, Etc to Trustee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gridSpan w:val="2"/>
          </w:tcPr>
          <w:p>
            <w:pPr>
              <w:spacing w:after="0"/>
              <w:rPr>
                <w:sz w:val="18"/>
                <w:szCs w:val="18"/>
                <w:color w:val="auto"/>
              </w:rPr>
            </w:pPr>
          </w:p>
        </w:tc>
        <w:tc>
          <w:tcPr>
            <w:tcW w:w="8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XI</w:t>
            </w:r>
          </w:p>
        </w:tc>
        <w:tc>
          <w:tcPr>
            <w:tcW w:w="8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SATISFACTION AND DISCHARGE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SECTION</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11.01</w:t>
            </w:r>
          </w:p>
        </w:tc>
        <w:tc>
          <w:tcPr>
            <w:tcW w:w="8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Satisfaction and Discharge of Indenture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SECTION</w:t>
            </w: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11.02</w:t>
            </w:r>
          </w:p>
        </w:tc>
        <w:tc>
          <w:tcPr>
            <w:tcW w:w="8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Discharge of Obligations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SECTION</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11.03</w:t>
            </w:r>
          </w:p>
        </w:tc>
        <w:tc>
          <w:tcPr>
            <w:tcW w:w="8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Deposited Moneys to be Held in Trust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SECTION</w:t>
            </w: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11.04</w:t>
            </w:r>
          </w:p>
        </w:tc>
        <w:tc>
          <w:tcPr>
            <w:tcW w:w="8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Payment of Moneys Held by Paying Agents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SECTION</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11.05</w:t>
            </w:r>
          </w:p>
        </w:tc>
        <w:tc>
          <w:tcPr>
            <w:tcW w:w="8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Repayment to Company</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gridSpan w:val="2"/>
            <w:shd w:val="clear" w:color="auto" w:fill="CCEEFF"/>
          </w:tcPr>
          <w:p>
            <w:pPr>
              <w:spacing w:after="0"/>
              <w:rPr>
                <w:sz w:val="18"/>
                <w:szCs w:val="18"/>
                <w:color w:val="auto"/>
              </w:rPr>
            </w:pPr>
          </w:p>
        </w:tc>
        <w:tc>
          <w:tcPr>
            <w:tcW w:w="8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ARTICLE XII</w:t>
            </w:r>
          </w:p>
        </w:tc>
        <w:tc>
          <w:tcPr>
            <w:tcW w:w="8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IMMUNITY OF INCORPORATORS, STOCKHOLDERS, OFFICERS AND DIRECTORS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SECTION</w:t>
            </w: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12.01</w:t>
            </w:r>
          </w:p>
        </w:tc>
        <w:tc>
          <w:tcPr>
            <w:tcW w:w="8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No Recourse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16"/>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XIII</w:t>
            </w:r>
          </w:p>
        </w:tc>
        <w:tc>
          <w:tcPr>
            <w:tcW w:w="6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MISCELLANEOUS PROVISIONS</w:t>
            </w:r>
          </w:p>
        </w:tc>
        <w:tc>
          <w:tcPr>
            <w:tcW w:w="3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13.01</w:t>
            </w:r>
          </w:p>
        </w:tc>
        <w:tc>
          <w:tcPr>
            <w:tcW w:w="6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Effect on Successors and Assigns</w:t>
            </w:r>
          </w:p>
        </w:tc>
        <w:tc>
          <w:tcPr>
            <w:tcW w:w="3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13.02</w:t>
            </w:r>
          </w:p>
        </w:tc>
        <w:tc>
          <w:tcPr>
            <w:tcW w:w="6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Actions by Successor</w:t>
            </w:r>
          </w:p>
        </w:tc>
        <w:tc>
          <w:tcPr>
            <w:tcW w:w="3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13.03</w:t>
            </w:r>
          </w:p>
        </w:tc>
        <w:tc>
          <w:tcPr>
            <w:tcW w:w="6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Surrender of Company Powers</w:t>
            </w:r>
          </w:p>
        </w:tc>
        <w:tc>
          <w:tcPr>
            <w:tcW w:w="3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13.04</w:t>
            </w:r>
          </w:p>
        </w:tc>
        <w:tc>
          <w:tcPr>
            <w:tcW w:w="6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Notices</w:t>
            </w:r>
          </w:p>
        </w:tc>
        <w:tc>
          <w:tcPr>
            <w:tcW w:w="3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13.05</w:t>
            </w:r>
          </w:p>
        </w:tc>
        <w:tc>
          <w:tcPr>
            <w:tcW w:w="6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Governing Law</w:t>
            </w:r>
          </w:p>
        </w:tc>
        <w:tc>
          <w:tcPr>
            <w:tcW w:w="3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13.06</w:t>
            </w:r>
          </w:p>
        </w:tc>
        <w:tc>
          <w:tcPr>
            <w:tcW w:w="6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Treatment of Securities as Debt</w:t>
            </w:r>
          </w:p>
        </w:tc>
        <w:tc>
          <w:tcPr>
            <w:tcW w:w="3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13.07</w:t>
            </w:r>
          </w:p>
        </w:tc>
        <w:tc>
          <w:tcPr>
            <w:tcW w:w="6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Compliance Certificates and Opinions</w:t>
            </w:r>
          </w:p>
        </w:tc>
        <w:tc>
          <w:tcPr>
            <w:tcW w:w="3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13.08</w:t>
            </w:r>
          </w:p>
        </w:tc>
        <w:tc>
          <w:tcPr>
            <w:tcW w:w="6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Payments on Business Days</w:t>
            </w:r>
          </w:p>
        </w:tc>
        <w:tc>
          <w:tcPr>
            <w:tcW w:w="3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13.09</w:t>
            </w:r>
          </w:p>
        </w:tc>
        <w:tc>
          <w:tcPr>
            <w:tcW w:w="6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Conflict with Trust Indenture Act</w:t>
            </w:r>
          </w:p>
        </w:tc>
        <w:tc>
          <w:tcPr>
            <w:tcW w:w="3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13.10</w:t>
            </w:r>
          </w:p>
        </w:tc>
        <w:tc>
          <w:tcPr>
            <w:tcW w:w="6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Counterparts</w:t>
            </w:r>
          </w:p>
        </w:tc>
        <w:tc>
          <w:tcPr>
            <w:tcW w:w="3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13.11</w:t>
            </w:r>
          </w:p>
        </w:tc>
        <w:tc>
          <w:tcPr>
            <w:tcW w:w="6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Separability</w:t>
            </w:r>
          </w:p>
        </w:tc>
        <w:tc>
          <w:tcPr>
            <w:tcW w:w="3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13.12</w:t>
            </w:r>
          </w:p>
        </w:tc>
        <w:tc>
          <w:tcPr>
            <w:tcW w:w="6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Assignment</w:t>
            </w:r>
          </w:p>
        </w:tc>
        <w:tc>
          <w:tcPr>
            <w:tcW w:w="3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XIV</w:t>
            </w:r>
          </w:p>
        </w:tc>
        <w:tc>
          <w:tcPr>
            <w:tcW w:w="6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SUBORDINATION OF SECURITIES</w:t>
            </w:r>
          </w:p>
        </w:tc>
        <w:tc>
          <w:tcPr>
            <w:tcW w:w="3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14.01</w:t>
            </w:r>
          </w:p>
        </w:tc>
        <w:tc>
          <w:tcPr>
            <w:tcW w:w="6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Subordination Terms</w:t>
            </w:r>
          </w:p>
        </w:tc>
        <w:tc>
          <w:tcPr>
            <w:tcW w:w="3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76" w:lineRule="exact"/>
        <w:rPr>
          <w:sz w:val="20"/>
          <w:szCs w:val="20"/>
          <w:color w:val="auto"/>
        </w:rPr>
      </w:pPr>
    </w:p>
    <w:p>
      <w:pPr>
        <w:ind w:left="340" w:hanging="332"/>
        <w:spacing w:after="0"/>
        <w:tabs>
          <w:tab w:leader="none" w:pos="340" w:val="left"/>
        </w:tabs>
        <w:numPr>
          <w:ilvl w:val="0"/>
          <w:numId w:val="8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This Table of Contents does not constitute part of the Indenture and shall not have any bearing on the interpretation of any of its terms or provisions.</w:t>
      </w:r>
    </w:p>
    <w:p>
      <w:pPr>
        <w:spacing w:after="0" w:line="346" w:lineRule="exact"/>
        <w:rPr>
          <w:rFonts w:ascii="Times New Roman" w:cs="Times New Roman" w:eastAsia="Times New Roman" w:hAnsi="Times New Roman"/>
          <w:sz w:val="30"/>
          <w:szCs w:val="30"/>
          <w:color w:val="auto"/>
          <w:vertAlign w:val="superscript"/>
        </w:rPr>
      </w:pPr>
    </w:p>
    <w:p>
      <w:pPr>
        <w:ind w:left="5560"/>
        <w:spacing w:after="0"/>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color w:val="auto"/>
        </w:rPr>
        <w:t>INDENTURE, dated as of [  ], by and between KALA BIO, Inc., a Delaware corporation (the “Company”), and [  ], as trustee (the “Trustee”):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WHEREAS, for its lawful corporate purposes, the Company has duly authorized the execution and delivery of this Indenture to provide for the issuance of subordinated debt securities (hereinafter referred to as the “Securities”), in an unlimited aggregate principal amount to be issued from time to time in one or more series as in this Indenture provided, as registered Securities without coupons, to be authenticated by the certificate of the Trustee;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WHEREAS, to provide the terms and conditions upon which the Securities are to be authenticated, issued and delivered, the Company has duly authorized the execution of this Indenture; and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 all things necessary to make this Indenture a valid agreement of the Company, in accordance with its terms, have been done.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purchase of the Securities by the holders thereof, it is mutually covenanted and agreed as follows for the equal and ratable benefit of the holders of Securities: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1.01 Definitions of Terms.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terms defined in this Section (except as in this Indenture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otherwise expressly provided or unless the context otherwise requires), shall have the meanings assigned to such terms in said Trust Indenture Act and in said Securities Act as in force at the date of the execution of this instrument.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“Authenticating Agent” means an authenticating agent with respect to all or any of the series of Securities appointed with respect to all or any series of the Securities by the Trustee pursuant to Section 2.10.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“Bankruptcy Law” means Title 11, U.S. Code, or any similar federal or state law for the relief of debtors.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means the Board of Directors of the Company or any duly authorized committee of such Board.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“Board Resolution” means a copy of a resolution certified by the Secretary or an Assistant Secretary of the Company to have been duly adopted by the Board of Directors and to be in full force and effect on the date of such certification.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“Business Day” means, with respect to any series of Securities, any day other than a day on which Federal or State banking institutions in the Borough of Manhattan, the City and State of New York, are authorized or obligated by law, executive order or regulation to close.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means a certificate signed by the principal executive officer, the principal financial officer or the principal accounting officer of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Certificate need not comply with the provisions of Section 13.07.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 means the Securities and Exchange Commission.</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“Company” means the corporation named as the “Company” in the first paragraph of this instrument until a successor corporation shall have become such pursuant to the applicable provisions of this Indenture, and thereafter “Company” shall mean such successor corporation.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0" w:name="page101"/>
    <w:bookmarkEnd w:id="100"/>
    <w:p>
      <w:pPr>
        <w:jc w:val="both"/>
        <w:spacing w:after="0" w:line="266" w:lineRule="auto"/>
        <w:rPr>
          <w:sz w:val="20"/>
          <w:szCs w:val="20"/>
          <w:color w:val="auto"/>
        </w:rPr>
      </w:pPr>
      <w:r>
        <w:rPr>
          <w:rFonts w:ascii="Times New Roman" w:cs="Times New Roman" w:eastAsia="Times New Roman" w:hAnsi="Times New Roman"/>
          <w:sz w:val="18"/>
          <w:szCs w:val="18"/>
          <w:color w:val="auto"/>
        </w:rPr>
        <w:t>“Corporate Trust Office” means the office of the Trustee at which, at any particular time, its corporate trust business shall be principally administered, which office at the date hereof is located at [ ], except that whenever a provision herein refers to an office or agency of the Trustee in the Borough of Manhattan, the City and State of New York, such office is located, at the date hereof, at [ ].</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“Custodian” means any receiver, trustee, assignee, liquidator, or similar official under any Bankruptcy Law.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“Default” means an event which is, or after notice or lapse of time, or both, would constitute an Event of Default.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“Depositary” means, with respect to Securities of any series, for which the Company shall determine that such Securities will be issued as a Global Security, The Depository Trust Company, New York, New York, another clearing agency, or any successor registered as a clearing agency under the Exchange Act, or other applicable statute or regulation, which, in each case, shall be designated by the Company pursuant to either Section 2.01 or Section 2.11.</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“Event of Default” means, with respect to Securities of a particular series, any event specified in Section 6.01, continued for the period of time, if any, therein designated.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Act” means the Securities Exchange Act of 1934, as amended.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“Global Security” means, with respect to any series of Securities, a Security executed by the Company and delivered by the Trustee to the Depositary or pursuant to the Depositary’s instruction, all in accordance with this Indenture, which shall be registered in the name of the Depositary or its nominee.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“Governmental Obligations” means securities that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that, in either case, are non-callable at the option of the issuer thereof, and shall also include a depositary receipt issued by a bank (as defined in Section 3(a)(2) of the Securities Act of 1933, as amended)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“herein,” “hereof” and “hereunder,” and other words of similar import, refer to this Indenture as a whole and not to any particular Article, Section or other subdivision.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“Indenture” means this instrument as originally executed or as it may from time to time be supplemented or amended by one or more indentures supplemental hereto entered into in accordance with the terms hereof.</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Payment Date,”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“Officers’ Certificate” means a certificate signed by the President or a Vice President and by the Chief Financial Officer, Vice President of Finance, the Treasurer or an Assistant Treasurer or the Controller or an Assistant Controller or the Secretary or an Assistant Secretary of the Company that is delivered to the Trustee in accordance with the terms hereof. Certificate shall include the statements provided for in Section 13.07, if and to the extent required by the provisions thereof.</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1" w:name="page102"/>
    <w:bookmarkEnd w:id="101"/>
    <w:p>
      <w:pPr>
        <w:jc w:val="both"/>
        <w:spacing w:after="0" w:line="282" w:lineRule="auto"/>
        <w:rPr>
          <w:sz w:val="20"/>
          <w:szCs w:val="20"/>
          <w:color w:val="auto"/>
        </w:rPr>
      </w:pPr>
      <w:r>
        <w:rPr>
          <w:rFonts w:ascii="Times New Roman" w:cs="Times New Roman" w:eastAsia="Times New Roman" w:hAnsi="Times New Roman"/>
          <w:sz w:val="18"/>
          <w:szCs w:val="18"/>
          <w:color w:val="auto"/>
        </w:rPr>
        <w:t>“Opinion of Counsel” means a written opinion of counsel, who may be counsel to the Company (and may include directors or employees of the Company) and which opinion is acceptable to the Trustee which acceptance shall not be unreasonably withheld.</w:t>
      </w:r>
    </w:p>
    <w:p>
      <w:pPr>
        <w:spacing w:after="0" w:line="16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“Outstanding”, when used with reference to Securities of any series, means, subject to the provisions of Section 8.04,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in Article III provided, or provision satisfactory to the Trustee shall have been made for giving such notice; and (c) Securities in lieu of or in substitution for which other Securities shall have been authenticated and delivered pursuant to the terms of Section 2.07.</w:t>
      </w:r>
    </w:p>
    <w:p>
      <w:pPr>
        <w:spacing w:after="0" w:line="1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“Person” means any individual, corporation, limited liability company, partnership, joint-venture, association, joint-stock company, trust, estate, unincorporated organization or government or any agency or political subdivision thereof.</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“Predecessor Security” of any particular Security means every previous Security evidencing all or a portion of the same debt as that evidenced by such particular Security; and, for the purposes of this definition, any Security authenticated and delivered under Section 2.07 in lieu of a mutilated, destroyed, lost or stolen Security shall be deemed to evidence the same debt as the mutilated, destroyed, lost or stolen Security.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“Responsible Officer,” when used with respect to the Trustee, means any officer of the Trustee, including any vice president, assistant vice president, secretary, assistant secretary, the treasurer, any assistant treasurer, the managing director or any other officer of the Trustee customarily performing functions similar to those performed by any of the above designated officers and also means, with respect to a particular corporate trust matter, any other officer to whom such matter is referred because of such officer’s knowledge of and familiarity with the particular subject.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means the debt Securities authenticated and delivered under this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Register” has the meaning specified in Section 2.05.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Registrar” has the meaning specified in Section 2.05.</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“Securityholder,” “holder of Securities,” “registered holder,” or other similar term, means the Person or Persons in whose name or names a particular Security shall be registered in the Security Register.</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“Subsidiary” means, with respect to any Person, (i) any corporation at least a majority of whose outstanding Voting Stock shall at the time be owned, directly or indirectly, by such Person or by one or more of its Subsidiaries or by such Person and one or more of its Subsidiaries, (ii) any general partnership, joint venture or similar entity, at least a majority of whose outstanding partnership or similar interests shall at the time be owned by such Person, or by one or more of its Subsidiaries, or by such Person and one or more of its Subsidiaries and (iii) any limited partnership of which such Person or any of its Subsidiaries is a general partner.</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“Trustee” means the Person named as the “Trustee” in the first paragraph of this instrument until a successor Trustee shall have become such pursuant to the applicable provisions of this Indenture, and thereafter “Trustee” shall mean such successor Trustee. The term “Trustee” as used with respect to a particular series of the Securities shall mean the trustee with respect to that series.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2" w:name="page103"/>
    <w:bookmarkEnd w:id="102"/>
    <w:p>
      <w:pPr>
        <w:jc w:val="both"/>
        <w:spacing w:after="0" w:line="266" w:lineRule="auto"/>
        <w:rPr>
          <w:sz w:val="20"/>
          <w:szCs w:val="20"/>
          <w:color w:val="auto"/>
        </w:rPr>
      </w:pPr>
      <w:r>
        <w:rPr>
          <w:rFonts w:ascii="Times New Roman" w:cs="Times New Roman" w:eastAsia="Times New Roman" w:hAnsi="Times New Roman"/>
          <w:sz w:val="18"/>
          <w:szCs w:val="18"/>
          <w:color w:val="auto"/>
        </w:rPr>
        <w:t>“Trust Indenture Act” means the Trust Indenture Act of 1939, as amended, subject to the provisions of Sections 9.01, 9.02, and 10.01, as in effect at the date of execution of this instrument; provided, however, that in the event the Trust Indenture Act is amended after such date, Trust Indenture Act means, to the extent required by such amendment, the Trust Indenture Act of 1939, as so amended, or any successor statute.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“Voting Stock,” as applied to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ISSUE, DESCRIPTION, TERMS, EXECUTION,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REGISTRATION AND EXCHANGE OF SECURITIES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2.01 Designation and Terms of Securities.</w:t>
      </w:r>
    </w:p>
    <w:p>
      <w:pPr>
        <w:spacing w:after="0" w:line="225" w:lineRule="exact"/>
        <w:rPr>
          <w:sz w:val="20"/>
          <w:szCs w:val="20"/>
          <w:color w:val="auto"/>
        </w:rPr>
      </w:pPr>
    </w:p>
    <w:p>
      <w:pPr>
        <w:jc w:val="both"/>
        <w:ind w:left="460" w:hanging="452"/>
        <w:spacing w:after="0" w:line="258" w:lineRule="auto"/>
        <w:tabs>
          <w:tab w:leader="none" w:pos="4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of the Company or pursuant to one or more indentures supplemental hereto. Prior to the initial issuance of Securities of a given series, there shall be established in or pursuant to a Board Resolution of the Company, and set forth in an Officers’ Certificate of the Company, or established in one or more indentures supplemental hereto:</w:t>
      </w:r>
    </w:p>
    <w:p>
      <w:pPr>
        <w:spacing w:after="0" w:line="183" w:lineRule="exact"/>
        <w:rPr>
          <w:sz w:val="20"/>
          <w:szCs w:val="20"/>
          <w:color w:val="auto"/>
        </w:rPr>
      </w:pPr>
    </w:p>
    <w:p>
      <w:pPr>
        <w:ind w:left="460" w:hanging="452"/>
        <w:spacing w:after="0"/>
        <w:tabs>
          <w:tab w:leader="none" w:pos="4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Security of the series (which shall distinguish the Securities of the series from all other Securities);</w:t>
      </w:r>
    </w:p>
    <w:p>
      <w:pPr>
        <w:spacing w:after="0" w:line="225"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the Securities of such series initially to be issued and any limit upon the aggregate principal amount of the Securities of that series that may be authenticated and delivered under this Indenture (except for Securities authenticated and delivered upon registration of transfer of, or in exchange for, or in lieu of, other Securities of that series);</w:t>
      </w:r>
    </w:p>
    <w:p>
      <w:pPr>
        <w:spacing w:after="0" w:line="175" w:lineRule="exact"/>
        <w:rPr>
          <w:rFonts w:ascii="Times New Roman" w:cs="Times New Roman" w:eastAsia="Times New Roman" w:hAnsi="Times New Roman"/>
          <w:sz w:val="18"/>
          <w:szCs w:val="18"/>
          <w:color w:val="auto"/>
        </w:rPr>
      </w:pPr>
    </w:p>
    <w:p>
      <w:pPr>
        <w:ind w:left="460" w:right="20" w:hanging="452"/>
        <w:spacing w:after="0" w:line="282" w:lineRule="auto"/>
        <w:tabs>
          <w:tab w:leader="none" w:pos="4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units based on or relating to currencies in which debt securities of such series are denominated and the currency or units in which principal or interest or both will or may be payable;</w:t>
      </w:r>
    </w:p>
    <w:p>
      <w:pPr>
        <w:spacing w:after="0" w:line="16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Securities of the series is payable and the place(s) of payment;</w:t>
      </w:r>
    </w:p>
    <w:p>
      <w:pPr>
        <w:spacing w:after="0" w:line="22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at which the Securities of the series shall bear interest or the manner of calculation of such rate or rates, if any;</w:t>
      </w:r>
    </w:p>
    <w:p>
      <w:pPr>
        <w:spacing w:after="0" w:line="225"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such interest shall accrue, the Interest Payment Dates on which such interest will be payable or the manner of determination of such Interest Payment Dates, the place(s) of payment, and the record date for the determination of holders to whom interest is payable on any such Interest Payment Dates or the method for determining such dates;</w:t>
      </w:r>
    </w:p>
    <w:p>
      <w:pPr>
        <w:spacing w:after="0" w:line="17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extend the interest payment periods or to defer the payment of interest and the duration of such extension;</w:t>
      </w:r>
    </w:p>
    <w:p>
      <w:pPr>
        <w:spacing w:after="0" w:line="225"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Securities of the series may be redeemed, in whole or in part, at the option of the Company;</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3" w:name="page104"/>
    <w:bookmarkEnd w:id="103"/>
    <w:p>
      <w:pPr>
        <w:jc w:val="both"/>
        <w:ind w:left="460" w:hanging="452"/>
        <w:spacing w:after="0" w:line="261" w:lineRule="auto"/>
        <w:tabs>
          <w:tab w:leader="none" w:pos="4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if any, of the Company to redeem or purchase Securities of the series pursuant to any sinking fund or analogous provisions (including payments made in cash in satisfaction of future sinking fund obligations)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7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w:t>
      </w:r>
    </w:p>
    <w:p>
      <w:pPr>
        <w:spacing w:after="0" w:line="22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Securities of the series including the form of the Certificate of Authentication for such series;</w:t>
      </w:r>
    </w:p>
    <w:p>
      <w:pPr>
        <w:spacing w:after="0" w:line="225"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denominations of one thousand U.S. dollars ($1,000) or any integral multiple thereof, the denominations in which the Securities of the series shall be issuable;</w:t>
      </w:r>
    </w:p>
    <w:p>
      <w:pPr>
        <w:spacing w:after="0" w:line="161"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other terms with respect to such series (which terms shall not be inconsistent with the terms of this Indenture, as amended by any supplemental indenture) including any terms which may be required by or advisable under United States laws or regulations or advisable in connection with the marketing of Securities of that series;</w:t>
      </w:r>
    </w:p>
    <w:p>
      <w:pPr>
        <w:spacing w:after="0" w:line="17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Securities are issuable as a Global Security and, in such case, the identity of the Depositary for such series;</w:t>
      </w:r>
    </w:p>
    <w:p>
      <w:pPr>
        <w:spacing w:after="0" w:line="225" w:lineRule="exact"/>
        <w:rPr>
          <w:rFonts w:ascii="Times New Roman" w:cs="Times New Roman" w:eastAsia="Times New Roman" w:hAnsi="Times New Roman"/>
          <w:sz w:val="18"/>
          <w:szCs w:val="18"/>
          <w:color w:val="auto"/>
        </w:rPr>
      </w:pPr>
    </w:p>
    <w:p>
      <w:pPr>
        <w:ind w:left="460" w:right="20" w:hanging="452"/>
        <w:spacing w:after="0" w:line="282" w:lineRule="auto"/>
        <w:tabs>
          <w:tab w:leader="none" w:pos="4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Securities will be convertible into shares of common stock or other securities of the Company and, if so, the terms and conditions upon which such Securities will be so convertible, including the conversion price and the conversion period;</w:t>
      </w:r>
    </w:p>
    <w:p>
      <w:pPr>
        <w:spacing w:after="0" w:line="161"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principal amount thereof, the portion of the principal amount of Securities of the series which shall be payable upon declaration of acceleration of the maturity thereof pursuant to Section 6.01;</w:t>
      </w:r>
    </w:p>
    <w:p>
      <w:pPr>
        <w:spacing w:after="0" w:line="16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or different Events of Default or restrictive covenants provided for with respect to the Securities of the series; and</w:t>
      </w:r>
    </w:p>
    <w:p>
      <w:pPr>
        <w:spacing w:after="0" w:line="22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subordination terms of the Securities of the series.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All Securities of any one series shall be substantially identical except as to denomination and except as may otherwise be provided in or pursuant to any such Board Resolution or in any indentures supplemental hereto.</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color w:val="auto"/>
        </w:rPr>
        <w:t>SECTION 2.02 Form of Securities and Trustee’s Certificate.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Securities of any series and the Trustee’s certificate of authentication to be borne by such Securities shall be substantially of the tenor and purport as set forth in one or more indentures supplemental hereto or as provided in a Board Resolution of the Company and as set forth in an Officers’ Certificate of the Company and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stock exchange on which Securities of that series may be listed, or to conform to usage.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2.03 Denominations: Provisions for Payment.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Securities shall be issuable as registered Securities and in the denominations of one thousand U.S. dollars ($1,000) or any integral multiple thereof, subject to Section 2.01(a)(12). The Securities of a particular series shall bear interest payable on the dates and at the rate specified with respect to that series. The principal of and the interest on the Securities of any series, as well as any premium thereon in case of redemption thereof prior to maturity, shall be payable in the coin or currency of the United States of America that at the time is legal tender for public and private debt, at the office or agency of the Company maintained for that purpose in the Borough of Manhattan, the City and State of New York. Each Security shall be dated the date of its authentication. Interest on the Securities shall be computed on the basis of a 360-day year composed of twelve 30-day months.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3.03.</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interest on any Security that is payable, but is not punctually paid or duly provided for, on any Interest Payment Date for Securities of the same series (herein called “Defaulted Interest”) shall forthwith cease to be payable to the registered holder on the relevant regular record date by virtue of having been such holder; and such Defaulted Interest shall be paid by the Company, at its election, as provided in clause (1) or clause (2) below:</w:t>
      </w:r>
    </w:p>
    <w:p>
      <w:pPr>
        <w:spacing w:after="0" w:line="176" w:lineRule="exact"/>
        <w:rPr>
          <w:sz w:val="20"/>
          <w:szCs w:val="20"/>
          <w:color w:val="auto"/>
        </w:rPr>
      </w:pPr>
    </w:p>
    <w:p>
      <w:pPr>
        <w:jc w:val="both"/>
        <w:ind w:left="340" w:hanging="332"/>
        <w:spacing w:after="0" w:line="269" w:lineRule="auto"/>
        <w:tabs>
          <w:tab w:leader="none" w:pos="34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may make payment of any Defaulted Interest on Securities to the Persons in whose names such Securities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 class postage prepaid, to each Securityholder at his or her address as it appears in the Security Register, not less than 10 days prior to such special record date. Notice of the proposed payment of such Defaulted Interest and the special record date therefor having been mailed as aforesaid, such Defaulted Interest shall be paid to the Persons in whose names such Securities (or their respective Predecessor Securities) are registered on such special record date.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5" w:name="page106"/>
    <w:bookmarkEnd w:id="105"/>
    <w:p>
      <w:pPr>
        <w:jc w:val="both"/>
        <w:ind w:left="340" w:hanging="332"/>
        <w:spacing w:after="0" w:line="266" w:lineRule="auto"/>
        <w:tabs>
          <w:tab w:leader="none" w:pos="3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Unless otherwise set forth in a Board Resolution of the Company or one or more indentures supplemental hereto establishing the terms of any series of Securities pursuant to Section 2.01 hereof, the term “regular record date” as used in this Section with respect to a series of Securities with respect to any Interest Payment Date for such series shall mean either the fifteenth day of the month immediately preceding the month in which an Interest Payment Date established for such series pursuant to Section 2.01 hereof shall occur, if such Interest Payment Date is the first day of a month, or the last day of the month immediately preceding the month in which an Interest Payment Date established for such series pursuant to Section 2.01 hereof shall occur, if such Interest Payment Date is the fifteenth day of a month, whether or not such date is a Business Day.</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2.04 Execution and Authentications.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Securities shall be signed on behalf of the Company by its President, or one of its Vice Presidents, or its Treasurer, or one of its Assistant Treasurers, or its Secretary, or one of its Assistant Secretaries, under its corporate seal attested by its Secretary or one of its Assistant Secretaries. Signatures may be in the form of a manual or facsimile signature. The Company may use the facsimile signature of any Person who shall have been a President or Vice President thereof, or of any Person who shall have been a Treasurer or Assistant Treasurer thereof, or of any Person who shall have been a Secretary or Assistant Secretary thereof, notwithstanding the fact that at the time the Securities shall be authenticated and delivered or disposed of such Person shall have ceased to be the President or a Vice President, the Treasurer or an Assistant Treasurer or the Secretary or an Assistant Secretary, of the Company. The seal of the Company may be in the form of a facsimile of such seal and may be impressed, affixed, imprinted or otherwise reproduced on the Securities. The Securities may contain such notations, legends or endorsements required by law, stock exchange rule or usage. Each Security shall be dated the date of its authentication.</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Security shall not be valid or obligatory for any purpose and shall not be entitled to any benefit under this Indenture, in each case, until authenticated with a certificate of authentication manually signed by an authorized signatory of the Trustee, or by an Authenticating Agent. Such certificate shall be conclusive evidence, and the only evidence, that the Security so authenticated has been duly authenticated and delivered hereunder and that the Security is entitled to the benefits of this Indenture. At any time and from time to time after the execution and delivery of this Indenture, the Company may deliver Securities of any series executed by the Company to the Trustee for authentication, together with a written order of the Company for the authentication and delivery of such Securities, signed by its President or any Vice President and its Secretary or any Assistant Secretary, and the Trustee in accordance with such written order shall authenticate and deliver such Securities.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6" w:name="page107"/>
    <w:bookmarkEnd w:id="106"/>
    <w:p>
      <w:pPr>
        <w:jc w:val="both"/>
        <w:spacing w:after="0" w:line="266" w:lineRule="auto"/>
        <w:rPr>
          <w:sz w:val="20"/>
          <w:szCs w:val="20"/>
          <w:color w:val="auto"/>
        </w:rPr>
      </w:pPr>
      <w:r>
        <w:rPr>
          <w:rFonts w:ascii="Times New Roman" w:cs="Times New Roman" w:eastAsia="Times New Roman" w:hAnsi="Times New Roman"/>
          <w:sz w:val="18"/>
          <w:szCs w:val="18"/>
          <w:color w:val="auto"/>
        </w:rPr>
        <w:t>In authenticating such Securities and accepting the additional responsibilities under this Indenture in relation to such Securities, the Trustee shall be entitled to receive, and (subject to Section 7.01) shall be fully protected in relying upon, an Opinion of Counsel stating that the form and terms thereof have been established in conformity with the provisions of this Indenture.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2.05 Registration of Transfer and Exchange.</w:t>
      </w:r>
    </w:p>
    <w:p>
      <w:pPr>
        <w:spacing w:after="0" w:line="225" w:lineRule="exact"/>
        <w:rPr>
          <w:sz w:val="20"/>
          <w:szCs w:val="20"/>
          <w:color w:val="auto"/>
        </w:rPr>
      </w:pPr>
    </w:p>
    <w:p>
      <w:pPr>
        <w:jc w:val="both"/>
        <w:ind w:left="340" w:hanging="332"/>
        <w:spacing w:after="0" w:line="256" w:lineRule="auto"/>
        <w:tabs>
          <w:tab w:leader="none" w:pos="3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 any series may be exchanged upon presentation thereof at the office or agency of the Company designated for such purpose in the Borough of Manhattan, the City and State of New York,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spacing w:after="0" w:line="187"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keep, or cause to be kept, at its office or agency designated for such purpose in the Borough of Manhattan, the City and State of New York, or such other location designated by the Company a register or registers (herein referred to as the “Security Register”)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(the “Security Registrar”).</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spacing w:after="0" w:line="176" w:lineRule="exact"/>
        <w:rPr>
          <w:sz w:val="20"/>
          <w:szCs w:val="20"/>
          <w:color w:val="auto"/>
        </w:rPr>
      </w:pPr>
    </w:p>
    <w:p>
      <w:pPr>
        <w:jc w:val="both"/>
        <w:ind w:left="340" w:hanging="332"/>
        <w:spacing w:after="0" w:line="266" w:lineRule="auto"/>
        <w:tabs>
          <w:tab w:leader="none" w:pos="3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service charge shall be made for any exchange or registration of transfer of Securities, or issue of new Securities in case of partial redemption of any series, but the Company may require payment of a sum sufficient to cover any tax or other governmental charge in relation thereto, other than exchanges pursuant to Section 2.06, Section 3.03(b) and Section 9.04 not involving any transfer.</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required (i) to issue, exchange or register the transfer of any Securities during a period beginning at the opening of business 15 days before the day of the mailing of a notice of redemption of less than all the Outstanding Securities of the same series and ending at the close of business on the day of such mailing, nor (ii) to register the transfer of or exchange any Securities of any series or portions thereof called for redemption. The provisions of this Section 2.05 are, with respect to any Global Security, subject to Section 2.11 hereof.</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color w:val="auto"/>
        </w:rPr>
        <w:t>SECTION 2.06 Temporary Securities.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holders), at the office or agency of the Company designated for the purpose in the Borough of Manhattan, the City and State of New York, and the Trustee shall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2.07 Mutilated, Destroyed, Lost or Stolen Securities.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case any temporary or definitive Security shall become mutilated or be destroyed, lost or stolen, the Company (subject to the next succeeding sentence) shall execute, and upon the Company’s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written request or authorization of any officer of the Company. Upon the issuance of any substituted Security, the Company may require the payment of a sum sufficient to cover any tax or other governmental charge that may be imposed in relation thereto and any other expenses (including the fees and expenses of the Trustee) connected therewith. 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color w:val="auto"/>
        </w:rPr>
        <w:t>SECTION 2.08 Cancellation.</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All Securities surrendered for the purpose of payment, redemption, exchange or registration of transfer shall, if surrendered to the Company or any paying agent, be delivered to the Trustee for cancellation, or, if surrendered to the Trustee, shall be cancelled by it, and no Securities shall be issued in lieu thereof except as expressly required or permitted by any of the provisions of this Indenture. On request of the Company at the time of such surrender, the Trustee shall deliver to the Company canceled Securities held by the Trustee. In the absence of such request the Trustee may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2.09 Benefits of Indenture.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Nothing in this Indenture or in the Securities, express or implied, shall give or be construed to give to any Person, other than the parties hereto and the holders of the Securities (and, with respect to the provisions of Article XIV, the holders of Senior Indebtedness, as defined in any supplement to this Indenture pursuant to Article XIV) any legal or equitable right, remedy or claim under or in respect of this Indenture, or under any covenant, condition or provision herein contained; all such covenants, conditions and provisions being for the sole benefit of the parties hereto and of the holders of the Securities (and, with respect to the provisions of Article XIV, the holders of Senior Indebtedness).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2.10 Authenticating Agent.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color w:val="auto"/>
        </w:rPr>
        <w:t>SECTION 2.11 Global Securities</w:t>
      </w:r>
    </w:p>
    <w:p>
      <w:pPr>
        <w:spacing w:after="0" w:line="225" w:lineRule="exact"/>
        <w:rPr>
          <w:sz w:val="20"/>
          <w:szCs w:val="20"/>
          <w:color w:val="auto"/>
        </w:rPr>
      </w:pPr>
    </w:p>
    <w:p>
      <w:pPr>
        <w:jc w:val="both"/>
        <w:ind w:left="340" w:hanging="332"/>
        <w:spacing w:after="0" w:line="255" w:lineRule="auto"/>
        <w:tabs>
          <w:tab w:leader="none" w:pos="3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establish pursuant to Section 2.01 that some or all of the Securities of a particular series are to be issued as a Global Security, then the Company shall execute and the Trustee shall, in accordance with Section 2.04, authenticate and deliver, a Global Security that (i) shall represent, and shall be denominated in an amount equal to the aggregate principal amount of, the Outstanding Securities of such series which are to be issued as a Global Security, (ii) shall be registered in the name of the Depositary or its nominee, (iii) shall be delivered by the Trustee to the Depositary or pursuant to the Depositary’s instruction and (iv) shall bear a legend substantially to the following effect: “Except as otherwise provided in Section 2.11 of the Indenture, this Security may be transferred, in whole but not in part, only to another nominee of the Depositary or to a successor Depositary or to a nominee of such successor Depositary.”</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provisions of Section 2.05, the Global Security of a series may be transferred, in whole but not in part and in the manner provided in Section 2.05, only to another nominee of the Depositary for such series, or to a successor Depositary for such series selected or approved by the Company or to a nominee of such successor Depositary.</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52" w:lineRule="auto"/>
        <w:tabs>
          <w:tab w:leader="none" w:pos="3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this Section 2.11 shall no longer be applicable to the Securities of such series and the Company will execute, and subject to Section 2.05,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2.05, the Trustee, upon receipt of an Officers’ 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2.11(c) shall be registered in such names and in such authorized denominations as the Depositary, pursuant to instructions from its direct or indirect participants or otherwise, shall instruct the Trustee. The Trustee shall deliver such Securities to the Depositary for delivery to the Persons in whose names such Securities are so registered.</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REDEMPTION OF SECURITIES AND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SINKING FUND PROVISIONS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3.01 Redemption.</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may redeem the Securities of any series issued hereunder on and after the dates and in accordance with the terms established for such series pursuant to Section 2.01 hereof.</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color w:val="auto"/>
        </w:rPr>
        <w:t>SECTION 3.02 Notice of Redemption.</w:t>
      </w:r>
    </w:p>
    <w:p>
      <w:pPr>
        <w:spacing w:after="0" w:line="225" w:lineRule="exact"/>
        <w:rPr>
          <w:sz w:val="20"/>
          <w:szCs w:val="20"/>
          <w:color w:val="auto"/>
        </w:rPr>
      </w:pPr>
    </w:p>
    <w:p>
      <w:pPr>
        <w:jc w:val="both"/>
        <w:ind w:left="340" w:hanging="332"/>
        <w:spacing w:after="0" w:line="253" w:lineRule="auto"/>
        <w:tabs>
          <w:tab w:leader="none" w:pos="3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 Company shall desire to exercise such right to redeem all or, as the case may be, a portion of the Securities of any series in accordance with the right reserved so to do, the Company shall, or shall cause the Trustee to, give notice of such redemption to holders of the Securities of such series to be redeemed by mailing, first class postage prepaid, a notice of such redemption not less than 30 days and not more than 90 days before the date fixed for redemption of that series to such holders at their last addresses as they shall appear upon the Security Register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Each such notice of redemption shall specify the date fixed for redemption and the redemption price at which Securities of that series are to be redeemed, and shall state that payment of the redemption price of such Securities to be redeemed will be made at the office or agency of the Company in the Borough of Manhattan, the City and State of New York, upon presentation and surrender of such Securities, that interest accrued to the date fixed for redemption will be paid as specified in said notice, that from and after said date interest will cease to accrue and that the redemption is for a sinking fund, if such is the case. If less than all the Securities of a series are to be redeemed, the notice to the holders of Securities of that series to be redeemed in whole or in part shall specify the particular Securities to be so redeemed. 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spacing w:after="0" w:line="192" w:lineRule="exact"/>
        <w:rPr>
          <w:sz w:val="20"/>
          <w:szCs w:val="20"/>
          <w:color w:val="auto"/>
        </w:rPr>
      </w:pPr>
    </w:p>
    <w:p>
      <w:pPr>
        <w:jc w:val="both"/>
        <w:ind w:left="340" w:hanging="332"/>
        <w:spacing w:after="0" w:line="253" w:lineRule="auto"/>
        <w:tabs>
          <w:tab w:leader="none" w:pos="3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less than all the Securities of a series are to be redeemed, the Company shall give the Trustee at least 30 days’ notice in advance of the date fixed for redemption as to the aggregate principal amount of Securities of the series to be redeemed, and thereupon the Trustee shall select, by lot or in such other manner as it shall deem appropriate and fair in its discretion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its President or any Vice President,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color w:val="auto"/>
        </w:rPr>
        <w:t>SECTION 3.03 Payment Upon Redemption.</w:t>
      </w:r>
    </w:p>
    <w:p>
      <w:pPr>
        <w:spacing w:after="0" w:line="225" w:lineRule="exact"/>
        <w:rPr>
          <w:sz w:val="20"/>
          <w:szCs w:val="20"/>
          <w:color w:val="auto"/>
        </w:rPr>
      </w:pPr>
    </w:p>
    <w:p>
      <w:pPr>
        <w:jc w:val="both"/>
        <w:ind w:left="340" w:hanging="332"/>
        <w:spacing w:after="0" w:line="254" w:lineRule="auto"/>
        <w:tabs>
          <w:tab w:leader="none" w:pos="3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the date fixed for redemption (but if the date fixed for redemption is an interest payment date, the interest installment payable on such date shall be payable to the registered holder at the close of business on the applicable record date pursuant to Section 2.03).</w:t>
      </w:r>
    </w:p>
    <w:p>
      <w:pPr>
        <w:spacing w:after="0" w:line="19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presentation of any Security of such series that is to be redeemed in part only, the Company shall execute and the Trustee shall authenticate and the office or agency where the Security is presented shall deliver to the holder thereof, at the expense of the Company, a new Security of the same series of authorized denominations in principal amount equal to the unredeemed portion of the Security so presented.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3.04 Sinking Fund.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provisions of Sections 3.04, 3.05 and 3.06 shall be applicable to any sinking fund for the retirement of Securities of a series, except as otherwise specified as contemplated by Section 2.01 for Securities of such series.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3.05. Each sinking fund payment shall be applied to the redemption of Securities of any series as provided for by the terms of Securities of such series.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3.05 Satisfaction of Sinking Fund Payments with Securities.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 may deliver Outstanding Securities of a series (other than any Securities previously called for redemption)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3.06 Redemption of Securities for Sinking Fund.</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Not less than 45 days prior to each sinking fund payment date for any series of Securities,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3.05 and the basis for such credit and will, together with such Officers’ Certificate, deliver to the Trustee any Securities to be so delivered. Not less than 30 days before each such sinking fund payment date the Trustee shall select the Securities to be redeemed upon such sinking fund payment date in the manner specified in Section 3.02 and cause notice of the redemption thereof to be given in the name of and at the expense of the Company in the manner provided in Section 3.02. Such notice having been duly given, the redemption of such Securities shall be made upon the terms and in the manner stated in Section 3.03.</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COVENANTS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4.01 Payment of Principal, Premium and Interest.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will duly and punctually pay or cause to be paid the principal of (and premium, if any) and interest on the Securities of that series at the time and place and in the manner provided herein and established with respect to such Securities.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4.02 Maintenance of Office or Agency.</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 long as any series of the Securities remain Outstanding, the Company agrees to maintain an office or agency in the Borough of Manhattan, the City and State of New York, with respect to each such series and at such other location or locations as may be designated as provided in this Section 4.02, where (i) Securities of that series may be presented or surrendered for payment, (ii) Securities of that series may be presented as herein above authorized for registration of transfer and exchange, and (iii) notices and demands to or upon the Company in respect of the Securities of that series and this Indenture may be given or served, such designation to continue with respect to such office or agency until the Company shall, by written notice signed by its President or a Vice President and delivered to the trustee,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 Trustee, and the Company hereby appoints the Trustee as its agent to receive all such presentations, notices and demands.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4.03 Paying Agents.</w:t>
      </w:r>
    </w:p>
    <w:p>
      <w:pPr>
        <w:spacing w:after="0" w:line="225" w:lineRule="exact"/>
        <w:rPr>
          <w:sz w:val="20"/>
          <w:szCs w:val="20"/>
          <w:color w:val="auto"/>
        </w:rPr>
      </w:pPr>
    </w:p>
    <w:p>
      <w:pPr>
        <w:jc w:val="both"/>
        <w:ind w:left="340" w:hanging="332"/>
        <w:spacing w:after="0" w:line="266" w:lineRule="auto"/>
        <w:tabs>
          <w:tab w:leader="none" w:pos="3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spacing w:after="0" w:line="176" w:lineRule="exact"/>
        <w:rPr>
          <w:sz w:val="20"/>
          <w:szCs w:val="20"/>
          <w:color w:val="auto"/>
        </w:rPr>
      </w:pPr>
    </w:p>
    <w:p>
      <w:pPr>
        <w:jc w:val="both"/>
        <w:ind w:left="340" w:hanging="332"/>
        <w:spacing w:after="0" w:line="266" w:lineRule="auto"/>
        <w:tabs>
          <w:tab w:leader="none" w:pos="3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give the Trustee notice of any failure by the Company (or by any other obligor of such Securities) to make any payment of the principal of (and premium, if any) or interest on the Securities of that series when the same shall be due and payable;</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at any time during the continuance of any failure referred to in the preceding paragraph (a)(2) above, upon the written request of the Trustee, forthwith pay to the Trustee all sums so held in trust by such paying agent; and</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perform all other duties of paying agent as set forth in this Indenture.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3" w:name="page114"/>
    <w:bookmarkEnd w:id="113"/>
    <w:p>
      <w:pPr>
        <w:jc w:val="both"/>
        <w:ind w:left="340" w:hanging="332"/>
        <w:spacing w:after="0" w:line="254" w:lineRule="auto"/>
        <w:tabs>
          <w:tab w:leader="none" w:pos="3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with monies held by all other paying agents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Section to the contrary, (i) the agreement to hold sums in trust as provided in this Section is subject to the provisions of Section 11.05,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any paying agent to the Trustee, such paying agent shall be released from all further liability with respect to such money.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4.04 Appointment to Fill Vacancy in Office of Trustee.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whenever necessary to avoid or fill a vacancy in the office of Trustee, will appoint, in the manner provided in Section 7.10, a Trustee, so that there shall at all times be a Trustee hereunder.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4.05 Compliance with Consolidation Provisions.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will not, while any of the Securities remain Outstanding, consolidate with or merge into any other Person, in either case where the Company is not the survivor of such transaction, or sell or convey all or substantially all of its property to any other company unless the provisions of Article X hereof are complied with.</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2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SECURITYHOLDERS’ LISTS AND REPORTS BY THE COMPANY AND THE TRUSTEE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5.01 Company to Furnish Trustee Names and Addresses of Securityholders.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Company is not the Security Register, the Company will furnish or use reasonable efforts to cause to be furnished to the Trustee (a) on each regular record date (as defined in Section 2.03)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color w:val="auto"/>
        </w:rPr>
        <w:t>SECTION 5.02 Preservation of Information; Communications with Securityholders.</w:t>
      </w:r>
    </w:p>
    <w:p>
      <w:pPr>
        <w:spacing w:after="0" w:line="225" w:lineRule="exact"/>
        <w:rPr>
          <w:sz w:val="20"/>
          <w:szCs w:val="20"/>
          <w:color w:val="auto"/>
        </w:rPr>
      </w:pPr>
    </w:p>
    <w:p>
      <w:pPr>
        <w:jc w:val="both"/>
        <w:ind w:left="340" w:hanging="332"/>
        <w:spacing w:after="0" w:line="266" w:lineRule="auto"/>
        <w:tabs>
          <w:tab w:leader="none" w:pos="3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preserve, in as current a form as is reasonably practicable, all information as to the names and addresses of the holders of Securities contained in the most recent list furnished to it as provided in Section 5.01 and as to the names and addresses of holders of Securities received by the Trustee in its capacity as Security Registrar (if acting in such capacity) and shall otherwise comply with Section 312(a) of the Trust Indenture Act.</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destroy any list furnished to it as provided in Section 5.01 upon receipt of a new list so furnished.</w:t>
      </w:r>
    </w:p>
    <w:p>
      <w:pPr>
        <w:spacing w:after="0" w:line="22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Securityholders may communicate as provided in Section 312(b) of the Trust Indenture Act with other Securityholders with respect to their rights under this Indenture or under the Securities.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5.03 Reports by the Company.</w:t>
      </w:r>
    </w:p>
    <w:p>
      <w:pPr>
        <w:spacing w:after="0" w:line="225" w:lineRule="exact"/>
        <w:rPr>
          <w:sz w:val="20"/>
          <w:szCs w:val="20"/>
          <w:color w:val="auto"/>
        </w:rPr>
      </w:pPr>
    </w:p>
    <w:p>
      <w:pPr>
        <w:jc w:val="both"/>
        <w:ind w:left="340" w:hanging="332"/>
        <w:spacing w:after="0" w:line="254" w:lineRule="auto"/>
        <w:tabs>
          <w:tab w:leader="none" w:pos="3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and agrees to file with the Trustee, within 15 days after the Company is required to file the same with the Commission, copies of the annual reports and of the information, documents and other reports (or copies of such portions of any of the foregoing as the Commission may from time to time by rules and regulations prescribe) that the Company may be required to file with the Commission pursuant to Section 13 or Section 15(d) of the Exchange Act; or, if the Company is not required to file information, documents or reports pursuant to either of such sections, then to file with the Trustee and the Commission, in accordance with the rules and regulations prescribed from time to time by the Commission, such of the supplementary and periodic information, documents and reports that may be required pursuant to Section 13 of the Exchange Act, in respect of a security listed and registered on a national securities exchange as may be prescribed from time to time in such rules and regulations; provided, however, the Company shall not be required to deliver to the Trustee any materials for which the Company has sought and received confidential treatment by the Commission. The Company also shall comply with the other provisions of Section 314(a) of the Trust Indenture Act.</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and agrees to file with the Trustee and the Commission, in accordance with the rules and regulations prescribed from to time by the Commission, such additional information, documents and reports with respect to compliance by the Company with the conditions and covenants provided for in this Indenture as may be required from time to time by such rules and regulations.</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and agrees to transmit by mail, first class postage prepaid, or reputable over-night delivery service that provides for evidence of receipt, to the Securityholders, as their names and addresses appear upon the Security Register, within 30 days after the filing thereof with the Trustee, such summaries of any information, documents and reports required to be filed by the Company pursuant to subsections (a) and (b) of this Section as may be required by rules and regulations prescribed from time to time by the Commission.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5.04 Reports by the Trustee.</w:t>
      </w:r>
    </w:p>
    <w:p>
      <w:pPr>
        <w:spacing w:after="0" w:line="225" w:lineRule="exact"/>
        <w:rPr>
          <w:sz w:val="20"/>
          <w:szCs w:val="20"/>
          <w:color w:val="auto"/>
        </w:rPr>
      </w:pPr>
    </w:p>
    <w:p>
      <w:pPr>
        <w:ind w:left="340" w:right="20" w:hanging="332"/>
        <w:spacing w:after="0" w:line="282" w:lineRule="auto"/>
        <w:tabs>
          <w:tab w:leader="none" w:pos="3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transmit to holders as provided in Section 313 of the Trust Indenture Act such reports concerning the Trustee and its actions under this Indenture as may be required by Section 313 of the Trust Indenture Act at the times and in the manner provided by the Trust Indenture Act.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each such report shall, at the time of such transmission to Securityholders, be filed by the Trustee with the Company, with each stock exchange upon which any Securities are listed (if so listed) and, if required by Section 313 of the Trust Indenture Act, also with the Commission. The Company agrees to notify the Trustee when any Securities become listed on any stock exchange.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25"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REMEDIES OF THE TRUSTEE AND SECURITYHOLDERS ON EVENT OF DEFAULT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6.01 Events of Default.</w:t>
      </w:r>
    </w:p>
    <w:p>
      <w:pPr>
        <w:spacing w:after="0" w:line="225" w:lineRule="exact"/>
        <w:rPr>
          <w:sz w:val="20"/>
          <w:szCs w:val="20"/>
          <w:color w:val="auto"/>
        </w:rPr>
      </w:pPr>
    </w:p>
    <w:p>
      <w:pPr>
        <w:ind w:left="340" w:hanging="332"/>
        <w:spacing w:after="0" w:line="282" w:lineRule="auto"/>
        <w:tabs>
          <w:tab w:leader="none" w:pos="3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used herein with respect to Securities of a particular series, “Event of Default” means any one or more of the following events that has occurred and is continuing:</w:t>
      </w:r>
    </w:p>
    <w:p>
      <w:pPr>
        <w:spacing w:after="0" w:line="162" w:lineRule="exact"/>
        <w:rPr>
          <w:sz w:val="20"/>
          <w:szCs w:val="20"/>
          <w:color w:val="auto"/>
        </w:rPr>
      </w:pPr>
    </w:p>
    <w:p>
      <w:pPr>
        <w:jc w:val="both"/>
        <w:ind w:left="340" w:hanging="332"/>
        <w:spacing w:after="0" w:line="266" w:lineRule="auto"/>
        <w:tabs>
          <w:tab w:leader="none" w:pos="3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defaults in the payment of any installment of interest upon any of the Securities of that series, as and when the same shall become due and payable, and continuance of such default for a period of 90 days; provided, however, that a valid extension of an interest payment period by the Company in accordance with the terms of any indenture supplemental hereto shall not constitute a default in the payment of interest for this purpose;</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indenture supplemental hereto shall not constitute a default in the payment of principal or premium, if any;</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fails to observe or perform any other of its covenants or agreements with respect to that series contained in this Indenture or otherwise established with respect to that series of Securities pursuant to Section 2.01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“Notice of Default” hereunder, shall have been given to the Company by the Trustee, by registered or certified mail, or to the Company and the Trustee by the holders of not less than a majority in principal amount of the Securities of that series at the time Outstanding;</w:t>
      </w:r>
    </w:p>
    <w:p>
      <w:pPr>
        <w:spacing w:after="0" w:line="18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90 consecutive days.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6" w:name="page117"/>
    <w:bookmarkEnd w:id="116"/>
    <w:p>
      <w:pPr>
        <w:jc w:val="both"/>
        <w:ind w:left="340" w:hanging="332"/>
        <w:spacing w:after="0" w:line="254" w:lineRule="auto"/>
        <w:tabs>
          <w:tab w:leader="none" w:pos="3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each and every such case, unless the principal of all the Securities of that series shall have already become due and payable, either the Trustee or the holders of not less than a majority in aggregate principal amount of the Securities of that series then Outstanding hereunder, by notice in writing to the Company (and to the Trustee if given by such Securityholders), may declare the principal (or, if any Securities of that series are discount securities, that portion of the principal amount as may be specified in the terms of that series pursuant to Section 2.01(a)(16)) of (and premium, if any, on) and accrued and unpaid interest, if any, on all the Securities of that series to be due and payable immediately, and upon any such declaration the same shall become and shall be immediately due and payable. Notwithstanding the foregoing, the payment of such principal (or, if any Securities of that series are discount securities, that portion of the principal amount as may be specified in the terms of that series pursuant to Section 2.01(a)(16)) of (and premium, if any, on) and accrued and unpaid interest, if any, on the Securities of such series shall remain subordinated to the extent provided in Article XIV.</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principal of the Securities of that series shall have been so declared due and payable, and before a judgment or decree for the payment of the moneys due shall have been obtained or entered as hereinafter provided, the holders of a majority in aggregate principal amount of the Securities of that series then Outstanding hereunder (or, by action at a meeting of holders of the Securities of such series in accordance with Section 8.09, the holders of a majority in aggregate principal amount of the Securities of such series then Outstanding represented at such meeting),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and (ii) any and all Events of Default under this Indenture with respect to such series, other than the nonpayment of principal of (and premium, if any, on) and accrued and unpaid interest, if any, on Securities of that series that shall have become due solely because of such acceleration, shall have been remedied, cured or waived as provided in Section 6.06. No such rescission and annulment shall extend to or shall affect any subsequent default or impair any right consequent thereon.</w:t>
      </w:r>
    </w:p>
    <w:p>
      <w:pPr>
        <w:spacing w:after="0" w:line="194"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6.02 Collection of Indebtedness and Suits for Enforcement by Trustee.</w:t>
      </w:r>
    </w:p>
    <w:p>
      <w:pPr>
        <w:spacing w:after="0" w:line="225" w:lineRule="exact"/>
        <w:rPr>
          <w:sz w:val="20"/>
          <w:szCs w:val="20"/>
          <w:color w:val="auto"/>
        </w:rPr>
      </w:pPr>
    </w:p>
    <w:p>
      <w:pPr>
        <w:jc w:val="both"/>
        <w:ind w:left="340" w:hanging="332"/>
        <w:spacing w:after="0" w:line="253" w:lineRule="auto"/>
        <w:tabs>
          <w:tab w:leader="none" w:pos="3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that (1) in case it shall default in the payment of any installment of interest on any of the Securities of a series, or any payment required by any sinking or analogous fund established with respect to that series as and when the same shall have become due and payable, and such default shall have continued for a period of 90 Business Days, or (2) in case it shall default in the payment of the principal of (or premium, if any, on) any of the Securities of a series when the same shall have become due and payable, whether upon maturity of the Securities of a series or upon redemption or upon declaration or otherwise,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Section 7.06.</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7" w:name="page118"/>
    <w:bookmarkEnd w:id="117"/>
    <w:p>
      <w:pPr>
        <w:jc w:val="both"/>
        <w:ind w:left="340" w:hanging="332"/>
        <w:spacing w:after="0" w:line="258" w:lineRule="auto"/>
        <w:tabs>
          <w:tab w:leader="none" w:pos="3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out of the property of the Company or other obligor upon the Securities of that series, wherever situated.</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any receivership, insolvency, liquidation, bankruptcy, reorganization, readjustment, arrangement, composition or judicial proceedings affected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this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7.06.</w:t>
      </w:r>
    </w:p>
    <w:p>
      <w:pPr>
        <w:spacing w:after="0" w:line="194"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7.06, be for the ratable benefit of the holders of the Securities of such series.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Nothing contained herein shall be deemed to authorize the Trustee to authorize or consent to or accept or adopt on behalf of any Securityholder any plan of reorganization, arrangement, adjustment or composition affecting the Securities of that series or the rights of any holder thereof or to authorize the Trustee to vote in respect of the claim of any Securityholder in any such proceeding.</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color w:val="auto"/>
        </w:rPr>
        <w:t>SECTION 6.03 Application of Moneys Collected.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moneys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the payment, if only partially paid, and upon surrender thereof if fully paid:</w:t>
      </w:r>
    </w:p>
    <w:p>
      <w:pPr>
        <w:sectPr>
          <w:pgSz w:w="11900" w:h="16838" w:orient="portrait"/>
          <w:cols w:equalWidth="0" w:num="1">
            <w:col w:w="11240"/>
          </w:cols>
          <w:pgMar w:left="320" w:top="796" w:right="339" w:bottom="144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FIRST:</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payment of costs and expenses of collection and of all amounts payable to the Trustee under Section 7.06;</w:t>
      </w:r>
    </w:p>
    <w:p>
      <w:pPr>
        <w:spacing w:after="0" w:line="200" w:lineRule="exact"/>
        <w:rPr>
          <w:sz w:val="20"/>
          <w:szCs w:val="20"/>
          <w:color w:val="auto"/>
        </w:rPr>
      </w:pPr>
    </w:p>
    <w:p>
      <w:pPr>
        <w:sectPr>
          <w:pgSz w:w="11900" w:h="16838" w:orient="portrait"/>
          <w:cols w:equalWidth="0" w:num="2">
            <w:col w:w="540" w:space="440"/>
            <w:col w:w="10260"/>
          </w:cols>
          <w:pgMar w:left="320" w:top="796" w:right="3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SECOND:</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payment of all Senior Indebtedness of the Company if and to the extent required by Article XIV; and</w:t>
      </w:r>
    </w:p>
    <w:p>
      <w:pPr>
        <w:spacing w:after="0" w:line="211" w:lineRule="exact"/>
        <w:rPr>
          <w:sz w:val="20"/>
          <w:szCs w:val="20"/>
          <w:color w:val="auto"/>
        </w:rPr>
      </w:pPr>
    </w:p>
    <w:p>
      <w:pPr>
        <w:sectPr>
          <w:pgSz w:w="11900" w:h="16838" w:orient="portrait"/>
          <w:cols w:equalWidth="0" w:num="2">
            <w:col w:w="780" w:space="200"/>
            <w:col w:w="10260"/>
          </w:cols>
          <w:pgMar w:left="320" w:top="796"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THIRD:</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w:t>
      </w:r>
    </w:p>
    <w:p>
      <w:pPr>
        <w:spacing w:after="0" w:line="176" w:lineRule="exact"/>
        <w:rPr>
          <w:sz w:val="20"/>
          <w:szCs w:val="20"/>
          <w:color w:val="auto"/>
        </w:rPr>
      </w:pPr>
    </w:p>
    <w:p>
      <w:pPr>
        <w:sectPr>
          <w:pgSz w:w="11900" w:h="16838" w:orient="portrait"/>
          <w:cols w:equalWidth="0" w:num="2">
            <w:col w:w="600" w:space="380"/>
            <w:col w:w="10260"/>
          </w:cols>
          <w:pgMar w:left="320" w:top="796"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SECTION 6.04 Limitation on Suits.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holder previously shall have given to the Trustee written notice of an Event of Default and of the continuance thereof with respect to the Securities of such series specifying such Event of Default, as hereinbefore provided; (ii) the holders of not less than a majority in aggregate principal amount of the Securities of such series then Outstanding shall have made written request upon the Trustee to institute such action, suit or proceeding in its own name as trustee hereunder; (iii) such holder or holders shall have offered to the Trustee such reasonable indemnity as it may require against the costs, expenses and liabilities to be incurred therein or thereby; and (iv) the Trustee for 60 days after its receipt of such notice, request and offer of indemnity, shall have failed to institute any such action, suit or proceeding and (v) during such 60 day period, the holders of a majority in principal amount of the Securities of that series (or such amount as shall have acted at a meeting of the holders of Securities of such series pursuant to the provisions of this Indenture) do not give the Trustee a direction inconsistent with the request; provided, however, that no one or more of such holders may use this Indenture to prejudice the rights of another holder or to obtain preference or priority over another holder.</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Notwithstanding anything contained herein to the contrary,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color w:val="auto"/>
        </w:rPr>
        <w:t>SECTION 6.05 Rights and Remedies Cumulative; Delay or Omission Not Waiver.</w:t>
      </w:r>
    </w:p>
    <w:p>
      <w:pPr>
        <w:spacing w:after="0" w:line="225" w:lineRule="exact"/>
        <w:rPr>
          <w:sz w:val="20"/>
          <w:szCs w:val="20"/>
          <w:color w:val="auto"/>
        </w:rPr>
      </w:pPr>
    </w:p>
    <w:p>
      <w:pPr>
        <w:jc w:val="both"/>
        <w:ind w:left="340" w:hanging="332"/>
        <w:spacing w:after="0" w:line="261" w:lineRule="auto"/>
        <w:tabs>
          <w:tab w:leader="none" w:pos="3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Section 2.07,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delay or omission of the Trustee or of any holder of any of the Securities to exercise any right or power accruing upon any Event of Default occurring and continuing as aforesaid shall impair any such right or power, or shall be construed to be a waiver of any such default or on acquiescence therein; and, subject to the provisions of Section 6.04, every power and remedy given by this Article or by law to the Trustee or the Securityholders may be exercised from time to time, and as often as shall be deemed expedient, by the Trustee or by the Securityholders.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6.06 Control by Securityholders.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holders of a majority in aggregate principal amount of the Securities of any series at the time Outstanding, determined in accordance with Section 8.01, shall have the right to direct the time, method and place of conducting any proceeding for any remedy available to the Trustee, or exercising any trust or power conferred on the Trustee with respect to such series; provided, however, that such direction shall not be in conflict with any rule of law or with this Indenture or be unduly prejudicial to the rights of holders of Securities of any other series at the time Outstanding determined in accordance with Section 8.01. Subject to the provisions of Section 7.01, the Trustee shall have the right to decline to follow any such direction if the Trustee in good faith shall, by a Responsible Officer or Officers of the Trustee, determine that the proceeding so directed would involve the Trustee in personal liability.</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holders either (a) through the written consent of not less than a majority in aggregate principal amount of the Securities of any series at the time Outstanding or (b) by action at a meeting of holders of the Securities of such series in accordance with Section 8.09, by the holders of a majority in aggregate principal amount of the Securities of such series then Outstanding represented at such meeting, may on behalf of the holders of all of the Securities of such series waive any past default in the performance of any of the covenants contained herein or established pursuant to Section 2.01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6.01(c)) and except in respect a provision hereof which, under Section 9.02, cannot be modified or amended without the consent of the holders of each Outstanding Security affected; provided however that this Section shall not limit the right of holders of Securities of a series to rescind and annul any acceleration as set forth in Section 6.01.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 The provisions which otherwise would be automatically deemed to be contained in this Indenture pursuant to Section 316(a)(1) of the Trust Indenture Act are hereby expressly excluded from this Indenture, except to the extent such provisions are expressly included herein.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6.07 Undertaking to Pay Costs.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2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CONCERNING THE TRUSTEE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7.01 Certain Duties and Responsibilities of Trustee.</w:t>
      </w:r>
    </w:p>
    <w:p>
      <w:pPr>
        <w:spacing w:after="0" w:line="225" w:lineRule="exact"/>
        <w:rPr>
          <w:sz w:val="20"/>
          <w:szCs w:val="20"/>
          <w:color w:val="auto"/>
        </w:rPr>
      </w:pPr>
    </w:p>
    <w:p>
      <w:pPr>
        <w:jc w:val="both"/>
        <w:ind w:left="340" w:hanging="332"/>
        <w:spacing w:after="0" w:line="256" w:lineRule="auto"/>
        <w:tabs>
          <w:tab w:leader="none" w:pos="3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man would exercise or use under the circumstances in the conduct of his own affairs.</w:t>
      </w:r>
    </w:p>
    <w:p>
      <w:pPr>
        <w:spacing w:after="0" w:line="187"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shall be construed to relieve the Trustee from liability for its own negligent action, its own negligent failure to act, or its own willful misconduct, except that:</w:t>
      </w:r>
    </w:p>
    <w:p>
      <w:pPr>
        <w:spacing w:after="0" w:line="162" w:lineRule="exact"/>
        <w:rPr>
          <w:sz w:val="20"/>
          <w:szCs w:val="20"/>
          <w:color w:val="auto"/>
        </w:rPr>
      </w:pPr>
    </w:p>
    <w:p>
      <w:pPr>
        <w:ind w:left="340" w:hanging="332"/>
        <w:spacing w:after="0" w:line="282" w:lineRule="auto"/>
        <w:tabs>
          <w:tab w:leader="none" w:pos="3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occurrence of an Event of Default with respect to the Securities of a series and after the curing or waiving of all such Events of Default with respect to that series that may have occurred:</w:t>
      </w:r>
    </w:p>
    <w:p>
      <w:pPr>
        <w:spacing w:after="0" w:line="162" w:lineRule="exact"/>
        <w:rPr>
          <w:sz w:val="20"/>
          <w:szCs w:val="20"/>
          <w:color w:val="auto"/>
        </w:rPr>
      </w:pPr>
    </w:p>
    <w:p>
      <w:pPr>
        <w:jc w:val="both"/>
        <w:ind w:left="340" w:hanging="332"/>
        <w:spacing w:after="0" w:line="266" w:lineRule="auto"/>
        <w:tabs>
          <w:tab w:leader="none" w:pos="3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bad faith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 of this Indenture;</w:t>
      </w:r>
    </w:p>
    <w:p>
      <w:pPr>
        <w:spacing w:after="0" w:line="180" w:lineRule="exact"/>
        <w:rPr>
          <w:sz w:val="20"/>
          <w:szCs w:val="20"/>
          <w:color w:val="auto"/>
        </w:rPr>
      </w:pPr>
    </w:p>
    <w:p>
      <w:pPr>
        <w:ind w:left="340" w:hanging="332"/>
        <w:spacing w:after="0" w:line="282" w:lineRule="auto"/>
        <w:tabs>
          <w:tab w:leader="none" w:pos="3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error of judgment made in good faith by a Responsible Officer or Responsible Officers of the Trustee, unless it shall be proved that the Trustee, was negligent in ascertaining the pertinent facts;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1" w:name="page122"/>
    <w:bookmarkEnd w:id="121"/>
    <w:p>
      <w:pPr>
        <w:jc w:val="both"/>
        <w:ind w:left="340" w:hanging="332"/>
        <w:spacing w:after="0" w:line="261" w:lineRule="auto"/>
        <w:tabs>
          <w:tab w:leader="none" w:pos="3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 and</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7.02 Certain Rights of Trustee.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otherwise provided in Section 7.01:</w:t>
      </w:r>
    </w:p>
    <w:p>
      <w:pPr>
        <w:spacing w:after="0" w:line="225" w:lineRule="exact"/>
        <w:rPr>
          <w:sz w:val="20"/>
          <w:szCs w:val="20"/>
          <w:color w:val="auto"/>
        </w:rPr>
      </w:pPr>
    </w:p>
    <w:p>
      <w:pPr>
        <w:jc w:val="both"/>
        <w:ind w:left="340" w:hanging="332"/>
        <w:spacing w:after="0" w:line="266" w:lineRule="auto"/>
        <w:tabs>
          <w:tab w:leader="none" w:pos="3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rely and shall be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direction, order or demand of the Company mentioned herein shall be sufficiently evidenced by a Board Resolution or an instrument signed in the name of the Company, by the President or any Vice President and by the Secretary or an Assistant Secretary or the Treasurer or an Assistant Treasurer thereof (unless other evidence in respect thereof is specifically prescribed herein);</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consult with counsel and the written advice of such counsel or any Opinion of Counsel shall be full and complete authorization and protection in respect of any action taken or suffered or omitted hereunder in good faith and in reliance thereon;</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reasonable security or indemnity against the costs,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man would exercise or use under the circumstances in the conduct of his own affairs;</w:t>
      </w:r>
    </w:p>
    <w:p>
      <w:pPr>
        <w:spacing w:after="0" w:line="187"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action taken or omitted to be taken by it in good faith and believed by it to be authorized or within the discretion or rights or powers conferred upon it by this Indenture;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2" w:name="page123"/>
    <w:bookmarkEnd w:id="122"/>
    <w:p>
      <w:pPr>
        <w:jc w:val="both"/>
        <w:ind w:left="340" w:hanging="332"/>
        <w:spacing w:after="0" w:line="255" w:lineRule="auto"/>
        <w:tabs>
          <w:tab w:leader="none" w:pos="3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bound to make any investigation into the facts or matters stated in any resolution, certificate, statement, instrument, opinion, report, notice, request, consent, order, approval, bond, security, or other papers or documents, unless requested in writing so to do by the holders of not less than a majority in principal amount of the Outstanding Securities of the particular series affected thereby (determined as provided in Section 8.04); provided, however,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costs, expenses or liabilities as a condition to so proceeding. The reasonable expense of every such examination shall be paid by the Company or, if paid by the Trustee, shall be repaid by the Company upon demand; and</w:t>
      </w:r>
    </w:p>
    <w:p>
      <w:pPr>
        <w:spacing w:after="0" w:line="188"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7.03 Trustee Not Responsible for Recitals or Issuance of Securities.</w:t>
      </w:r>
    </w:p>
    <w:p>
      <w:pPr>
        <w:spacing w:after="0" w:line="225" w:lineRule="exact"/>
        <w:rPr>
          <w:sz w:val="20"/>
          <w:szCs w:val="20"/>
          <w:color w:val="auto"/>
        </w:rPr>
      </w:pPr>
    </w:p>
    <w:p>
      <w:pPr>
        <w:ind w:left="340" w:hanging="332"/>
        <w:spacing w:after="0" w:line="282" w:lineRule="auto"/>
        <w:tabs>
          <w:tab w:leader="none" w:pos="3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recitals contained herein and in the Securities shall be taken as the statements of the Company, and the Trustee assumes no responsibility for the correctness of the same.</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makes no representations as to the validity or sufficiency of this Indenture or of the Securities.</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2.01, or for the use or application of any moneys received by any paying agent other than the Trustee.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7.04 May Hold Securities.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Trustee or any paying agent or Security Registrar, in its individual or any other capacity, may become the owner or pledgee of Securities with the same rights it would have if it were not Trustee, paying agent or Security Registrar.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7.05 Moneys Held in Trust.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the provisions of Section 11.05,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color w:val="auto"/>
        </w:rPr>
        <w:t>SECTION 7.06 Compensation and Reimbursement.</w:t>
      </w:r>
    </w:p>
    <w:p>
      <w:pPr>
        <w:spacing w:after="0" w:line="225" w:lineRule="exact"/>
        <w:rPr>
          <w:sz w:val="20"/>
          <w:szCs w:val="20"/>
          <w:color w:val="auto"/>
        </w:rPr>
      </w:pPr>
    </w:p>
    <w:p>
      <w:pPr>
        <w:jc w:val="both"/>
        <w:ind w:left="340" w:hanging="332"/>
        <w:spacing w:after="0" w:line="253" w:lineRule="auto"/>
        <w:tabs>
          <w:tab w:leader="none" w:pos="3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and agrees to pay to the Trustee, and the Trustee shall be entitled to, such reasonable compensation (which shall not be limited by any provision of law in regard to the compensation of a trustee of an express trust), as the Company, and the Trustee may from time to time agree in writing, for all services rendered by it in the execution of the trusts hereby created and in the exercise and performance of any of the powers and duties hereunder of the Trustee, and, except as otherwise expressly provided herein, the Company will pay or reimburse the Trustee upon its request for all reasonable expenses, disbursements and advances incurred or made by the Trustee in accordance with any of the provisions of this Indenture (including the reasonable compensation and the expenses and disbursements of its counsel and of all Persons not regularly in its employ) except any such expense, disbursement or advance as may arise from its negligence or bad faith. The Company also covenants to indemnify the Trustee (and its officers, agents, directors and employees) for, and to hold it harmless against, any loss, liability or expense incurred without negligence or bad faith on the part of the Trustee and arising out of or in connection with the acceptance or administration of this trust, including the costs and expenses of defending itself against any claim of liability in the premises.</w:t>
      </w:r>
    </w:p>
    <w:p>
      <w:pPr>
        <w:spacing w:after="0" w:line="194"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under this Section to compensate and indemnify the Trustee and to pay or reimburse the Trustee for expenses, disbursements and advances shall constitute additional indebtedness hereunder. Such additional indebtedness shall be secured by a lien prior to that of the Securities upon all property and funds held or collected by the Trustee as such, except funds held in trust for the benefit of the holders of particular Securities.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7.07 Reliance on Officers’ Certificate.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Except as otherwise provided in Section 7.01, whenever in the administration of the provisions of this Indenture the Trustee shall deem it necessary or desirable that a matter be proved or established prior to taking or suffering or omitting to take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to be taken by it under the provisions of this Indenture upon the faith thereof.</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7.08 Disqualification; Conflicting Interests.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Trustee has or shall acquire any “conflicting interest” within the meaning of Section 310(b) of the Trust Indenture Act, the Trustee and the Company shall in all respects comply with the provisions of Section 310(b) of the Trust Indenture Act.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7.09 Corporate Trustee Required; Eligibility.</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50 million U.S. dollars ($50,000,000), and subject to supervision or examination by Federal, State, Territorial, or District of Columbia authority. If such corporation publishes reports of condition at least annually, pursuant to law or to the requirements of the aforesaid supervising or examining authority, then for the purposes of this Section, the combined capital and surplus of such corporation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color w:val="auto"/>
        </w:rPr>
        <w:t>SECTION 7.10 Resignation and Removal; Appointment of Successor.</w:t>
      </w:r>
    </w:p>
    <w:p>
      <w:pPr>
        <w:spacing w:after="0" w:line="225" w:lineRule="exact"/>
        <w:rPr>
          <w:sz w:val="20"/>
          <w:szCs w:val="20"/>
          <w:color w:val="auto"/>
        </w:rPr>
      </w:pPr>
    </w:p>
    <w:p>
      <w:pPr>
        <w:jc w:val="both"/>
        <w:ind w:left="340" w:hanging="332"/>
        <w:spacing w:after="0" w:line="253" w:lineRule="auto"/>
        <w:tabs>
          <w:tab w:leader="none" w:pos="3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or any successor hereafter appointed, may at any time resign with respect to the Securities of one or more series by giving written notice thereof to the Company and by transmitting notice of resignation by mail, first class postage prepaid, to the Securityholders of such series, as their names and addresses appear upon the Security Register.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mailing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spacing w:after="0" w:line="19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at any time any one of the following shall occur:</w:t>
      </w:r>
    </w:p>
    <w:p>
      <w:pPr>
        <w:spacing w:after="0" w:line="225" w:lineRule="exact"/>
        <w:rPr>
          <w:sz w:val="20"/>
          <w:szCs w:val="20"/>
          <w:color w:val="auto"/>
        </w:rPr>
      </w:pPr>
    </w:p>
    <w:p>
      <w:pPr>
        <w:ind w:left="340" w:right="20" w:hanging="332"/>
        <w:spacing w:after="0" w:line="282" w:lineRule="auto"/>
        <w:tabs>
          <w:tab w:leader="none" w:pos="3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fail to comply with the provisions of Section 7.08 after written request therefor by the Company or by any Securityholder who has been a bona fide holder of a Security or Securities for at least six months; or</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cease to be eligible in accordance with the provisions of Section 7.09 and shall fail to resign after written request therefor by the Company or by any such Securityholder; or</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 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unless the Trustee’s duty to resign is stayed as provided herein,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192" w:lineRule="exact"/>
        <w:rPr>
          <w:sz w:val="20"/>
          <w:szCs w:val="20"/>
          <w:color w:val="auto"/>
        </w:rPr>
      </w:pPr>
    </w:p>
    <w:p>
      <w:pPr>
        <w:jc w:val="both"/>
        <w:ind w:left="340" w:hanging="332"/>
        <w:spacing w:after="0" w:line="266" w:lineRule="auto"/>
        <w:tabs>
          <w:tab w:leader="none" w:pos="3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resignation or removal of the Trustee and appointment of a successor trustee with respect to the Securities of a series pursuant to any of the provisions of this Section shall become effective upon acceptance of appointment by the successor trustee as provided in Section 7.11.</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successor trustee appointed pursuant to this Section may be appointed with respect to the Securities of one or more series or all of such series, and at any time there shall be only one Trustee with respect to the Securities of any particular series.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color w:val="auto"/>
        </w:rPr>
        <w:t>SECTION 7.11 Acceptance of Appointment By Successor.</w:t>
      </w:r>
    </w:p>
    <w:p>
      <w:pPr>
        <w:spacing w:after="0" w:line="225" w:lineRule="exact"/>
        <w:rPr>
          <w:sz w:val="20"/>
          <w:szCs w:val="20"/>
          <w:color w:val="auto"/>
        </w:rPr>
      </w:pPr>
    </w:p>
    <w:p>
      <w:pPr>
        <w:jc w:val="both"/>
        <w:ind w:left="340" w:hanging="332"/>
        <w:spacing w:after="0" w:line="256" w:lineRule="auto"/>
        <w:tabs>
          <w:tab w:leader="none" w:pos="3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87" w:lineRule="exact"/>
        <w:rPr>
          <w:rFonts w:ascii="Times New Roman" w:cs="Times New Roman" w:eastAsia="Times New Roman" w:hAnsi="Times New Roman"/>
          <w:sz w:val="18"/>
          <w:szCs w:val="18"/>
          <w:color w:val="auto"/>
        </w:rPr>
      </w:pPr>
    </w:p>
    <w:p>
      <w:pPr>
        <w:jc w:val="both"/>
        <w:ind w:left="340" w:hanging="332"/>
        <w:spacing w:after="0" w:line="267" w:lineRule="auto"/>
        <w:tabs>
          <w:tab w:leader="none" w:pos="340"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spacing w:after="0" w:line="189" w:lineRule="exact"/>
        <w:rPr>
          <w:rFonts w:ascii="Times New Roman" w:cs="Times New Roman" w:eastAsia="Times New Roman" w:hAnsi="Times New Roman"/>
          <w:sz w:val="17"/>
          <w:szCs w:val="17"/>
          <w:color w:val="auto"/>
        </w:rPr>
      </w:pPr>
    </w:p>
    <w:p>
      <w:pPr>
        <w:ind w:left="340" w:hanging="332"/>
        <w:spacing w:after="0" w:line="282" w:lineRule="auto"/>
        <w:tabs>
          <w:tab w:leader="none" w:pos="3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successor trustee shall accept its appointment unless at the time of such acceptance such successor trustee shall be qualified and eligible under this Article.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6" w:name="page127"/>
    <w:bookmarkEnd w:id="126"/>
    <w:p>
      <w:pPr>
        <w:jc w:val="both"/>
        <w:ind w:left="340" w:hanging="332"/>
        <w:spacing w:after="0" w:line="261" w:lineRule="auto"/>
        <w:tabs>
          <w:tab w:leader="none" w:pos="3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acceptance of appointment by a successor trustee as provided in this Section, the Company shall transmit notice of the succession of such trustee hereunder by mail, first class postage prepaid, to the Securityholders, as their names and addresses appear upon the Security Register. If the Company fails to transmit such notice within ten days after acceptance of appointment by the successor trustee, the successor trustee shall cause such notice to be transmitted at the expense of the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7.12 Merger, Conversion, Consolidation or Succession to Business.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corporation into which the Trustee may be merged or converted or with which it may be consolidated, or any corporation resulting from any merger, conversion or consolidation to which the Trustee shall be a party, or any corporation succeeding to the corporate trust business of the Trustee, shall be the successor of the Trustee hereunder, provided that such corporation shall be qualified under the provisions of Section 7.08 and eligible under the provisions of Section 7.09,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7.13 Preferential Collection of Claims Against the Company.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VIII</w:t>
      </w:r>
    </w:p>
    <w:p>
      <w:pPr>
        <w:spacing w:after="0" w:line="22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CONCERNING THE SECURITYHOLDERS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8.01 Evidence of Action by Securityholders.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color w:val="auto"/>
        </w:rPr>
        <w:t>SECTION 8.02 Proof of Execution by Securityholders.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Subject to the provisions of Section 7.01, proof of the execution of any instrument by a Securityholder (such proof will not require notarization) or his agent or proxy and proof of the holding by any Person of any of the Securities shall be sufficient if made in the following manner:</w:t>
      </w:r>
    </w:p>
    <w:p>
      <w:pPr>
        <w:spacing w:after="0" w:line="162" w:lineRule="exact"/>
        <w:rPr>
          <w:sz w:val="20"/>
          <w:szCs w:val="20"/>
          <w:color w:val="auto"/>
        </w:rPr>
      </w:pPr>
    </w:p>
    <w:p>
      <w:pPr>
        <w:ind w:left="340" w:hanging="332"/>
        <w:spacing w:after="0"/>
        <w:tabs>
          <w:tab w:leader="none" w:pos="3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and date of the execution by any such Person of any instrument may be proved in any reasonable manner acceptable to the Trustee.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Securities shall be proved by the Security Register of such Securities or by a certificate of the Security Registrar thereof.</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require such additional proof of any matter referred to in this Section as it shall deem necessary.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8.03 Who May be Deemed Owners.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the due presentment for registration of transfer of any Security, the Company, the Trustee, any paying agent and any Security Registrar may deem and treat the Person in whose name such Security shall be registered upon the books of the Company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2.03) interest on such Security and for all other purposes; and neither the Company nor the Trustee nor any paying agent nor any Security Registrar shall be affected by any notice to the contrary.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8.04 Certain Securities Owned by Company Disregarded.</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determining whether the holders of the requisite aggregate principal amount of Securities of a particular series have concurred in any direction, consent of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8.05 Actions Binding on Future Securityholders.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any time prior to (but not after) the evidencing to the Trustee, as provided in Section 8.01,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color w:val="auto"/>
        </w:rPr>
        <w:t>SECTION 8.06 Purposes for Which Meetings May Be Called.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meeting of holders of any series of Securities may be called at any time and from time to time pursuant to this Article to make, give or take any request, demand, authorization, direction, notice, consent, waiver or other action provided by this Indenture to be made, given or taken by holders of such series of Securities.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Notwithstanding anything contained in this Article VIII, the Trustee may, during the pendency of a Default or an Event of Default, call a meeting of holders of any series of Securities in accordance with its standard practices.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8.07 Call Notice and Place of Meetings.</w:t>
      </w:r>
    </w:p>
    <w:p>
      <w:pPr>
        <w:spacing w:after="0" w:line="225" w:lineRule="exact"/>
        <w:rPr>
          <w:sz w:val="20"/>
          <w:szCs w:val="20"/>
          <w:color w:val="auto"/>
        </w:rPr>
      </w:pPr>
    </w:p>
    <w:p>
      <w:pPr>
        <w:jc w:val="both"/>
        <w:ind w:left="340" w:hanging="332"/>
        <w:spacing w:after="0" w:line="258" w:lineRule="auto"/>
        <w:tabs>
          <w:tab w:leader="none" w:pos="3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at any time call a meeting of holders of any series of Securities for any purpose specified in Section 8.06 hereof, to be held at such time and at such place in The City of New York. Notice of every meeting of holders of any series of Securities, setting forth the time and the place of such meeting, in general terms the action proposed to be taken at such meeting and the percentage of the principal amount of the Outstanding Securities of such series which shall constitute a quorum at such meeting, shall be given, in the manner provided in Section 13.04 hereof, not less than 21 nor more than 180 days prior to the date fixed for the meeting to holders of Outstanding Securities of such series.</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at any time the Company, pursuant to a Board Resolution, or the holders of at least 10% in principal amount of the Outstanding Securities of any series shall have requested the Trustee to call a meeting of the holders of Securities of such series for any purpose specified in Section 8.06 hereof, by written request setting forth in reasonable detail the action proposed to be taken at the meeting, and the Trustee shall not have made the first publication of the notice of such meeting within 21 days after receipt of such request or shall not thereafter proceed to cause the meeting to be held as provided herein, then the Company or the holders of Securities of such series in the amount specified, as the case may be, may determine the time and the place in The City of New York for such meeting and may call such meeting for such purposes by giving notice thereof as provided in paragraph (a) of this Section.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8.08 Persons Entitled To Vote at Meetings.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be entitled to vote at any meeting of holders of Securities of a given series, a Person shall be (a) a holder of one or more Outstanding Securities of such series or (b) a Person appointed by an instrument in writing as proxy for a holder or holders of one or more Outstanding Securities of such series by such holder or holders. The only Persons who shall be entitled to be present or to speak at any meeting of holders shall be the Persons entitled to vote at such meeting and their counsel, any representatives of the Trustee and its counsel and any representatives of the Company and its counsel.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8.09 Quorum; Action.</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Persons entitled to vote a majority in aggregate principal amount of the Outstanding Securities of a given series shall constitute a quorum with respect to a meeting of holders of Outstanding Securities of such series. In the absence of a quorum within 30 minutes of the time appointed for any such meeting, the meeting shall, if convened at the request of holders of Securities of such series, be dissolved. In any other case, the meeting may be adjourned for a period of not less than 10 days as determined by the chairman of the meeting prior to the adjournment of such meeting. In the absence of a quorum at any such adjourned meeting, such adjourned meeting may be further adjourned for a period of not less than 10 days as determined by the chairman of the meeting prior to the adjournment of such adjourned meeting. Notice of the reconvening of any adjourned meeting shall be given as provided in Section 8.07(a) hereof, except that such notice need be given only once and not less than five days prior to the date on which the meeting is scheduled to be reconvened.</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9" w:name="page130"/>
    <w:bookmarkEnd w:id="129"/>
    <w:p>
      <w:pPr>
        <w:jc w:val="both"/>
        <w:spacing w:after="0" w:line="261" w:lineRule="auto"/>
        <w:rPr>
          <w:sz w:val="20"/>
          <w:szCs w:val="20"/>
          <w:color w:val="auto"/>
        </w:rPr>
      </w:pPr>
      <w:r>
        <w:rPr>
          <w:rFonts w:ascii="Times New Roman" w:cs="Times New Roman" w:eastAsia="Times New Roman" w:hAnsi="Times New Roman"/>
          <w:sz w:val="18"/>
          <w:szCs w:val="18"/>
          <w:color w:val="auto"/>
        </w:rPr>
        <w:t>At a meeting or an adjourned meeting duly reconvened and at which a quorum is present as aforesaid, any resolution and all matters (except as limited by the proviso to the first paragraph of Section 9.02 hereof) shall be effectively passed and decided if passed or decided by the Persons entitled to vote not less than a majority in aggregate principal amount of Outstanding Securities of a series represented and voting at such meeting with respect to a meeting of holders of Outstanding Securities of such series.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resolution passed or decisions taken at any meeting of holders of Securities duly held in accordance with this Section shall be binding on all the holders of Securities of such series, whether or not present or represented at the meeting.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8.10 Determination of Voting Rights; Conduct and Adjournment of Meetings.</w:t>
      </w:r>
    </w:p>
    <w:p>
      <w:pPr>
        <w:spacing w:after="0" w:line="225" w:lineRule="exact"/>
        <w:rPr>
          <w:sz w:val="20"/>
          <w:szCs w:val="20"/>
          <w:color w:val="auto"/>
        </w:rPr>
      </w:pPr>
    </w:p>
    <w:p>
      <w:pPr>
        <w:jc w:val="both"/>
        <w:ind w:left="340" w:hanging="332"/>
        <w:spacing w:after="0" w:line="261" w:lineRule="auto"/>
        <w:tabs>
          <w:tab w:leader="none" w:pos="3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provisions of this Indenture, the Trustee may make such reasonable regulations as it may deem advisable for any meeting of holders of Securities in regard to proof of the holding of Securities and of the appointment of proxies and in regard to the appointment and duties of inspectors of votes, the submission and examination of proxies, certificates and other evidence of the right to vote, and such other matters concerning the conduct of the meeting as it shall deem appropriate.</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by an instrument in writing, appoint a temporary chairman (which may be the Trustee) of the meeting, unless the meeting shall have been called by the Company or by holders of Securities of a given series as provided in Section 8.07(b) hereof, in which case the Company or the holders of Securities of such series calling the meeting, as the case may be, shall in like manner appoint a temporary chairman. A permanent chairman and a permanent secretary of the meeting shall be elected by vote of the Persons entitled to vote a majority in principal amount of the Outstanding Securities of such series represented at the meeting.</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meeting, each holder of a Security of the series in respect of which such meeting is being held or proxy shall be entitled to one vote for each $1,000 principal amount of Securities of such series held or represented by him; provided, however, that no vote shall be cast or counted at any meeting in respect of any Security of such series challenged as not Outstanding and ruled by the chairman of the meeting to be not Outstanding. The chairman of the meeting shall have no right to vote, except as a holder of a Security of such series or proxy.</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meeting of holders of Securities duly called pursuant to Section 8.07 hereof at which a quorum is present may be adjourned from time to time by Persons entitled to vote a majority in principal amount of the Outstanding Securities of the series in respect of which such meeting is being held represented at the meeting, and the meeting may be held as so adjourned without further notice.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color w:val="auto"/>
        </w:rPr>
        <w:t>SECTION 8.11 Counting Votes and Recording Action of Meetings.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vote upon any resolution submitted to any meeting of holders of Securities of a given series shall be by written ballots on which shall be subscribed the signatures of the holders of Securities of such series or of their representatives by proxy and the principal amounts and serial numbers of the Outstanding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at least in duplicate, of the proceedings of each meeting of holders of Securities of such series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given as provided in Section 8.07 hereof and, if applicable, Section 8.09 hereof. Each copy shall be signed and verified by the affidavits of the permanent chairman and secretary of the meeting and one such copy shall be delivered to the Company and another to the Trustee to be preserved by the Trustee, the latter to have attached thereto the ballots voted at the meeting. Any record so signed and verified shall be conclusive evidence of the matters therein stated.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IX</w:t>
      </w:r>
    </w:p>
    <w:p>
      <w:pPr>
        <w:spacing w:after="0" w:line="22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SUPPLEMENTAL INDENTURES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9.01 Supplemental Indentures Without the Consent of Securityholders.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w:t>
      </w:r>
    </w:p>
    <w:p>
      <w:pPr>
        <w:spacing w:after="0" w:line="176" w:lineRule="exact"/>
        <w:rPr>
          <w:sz w:val="20"/>
          <w:szCs w:val="20"/>
          <w:color w:val="auto"/>
        </w:rPr>
      </w:pPr>
    </w:p>
    <w:p>
      <w:pPr>
        <w:jc w:val="both"/>
        <w:ind w:left="340" w:hanging="332"/>
        <w:spacing w:after="0" w:line="266" w:lineRule="auto"/>
        <w:tabs>
          <w:tab w:leader="none" w:pos="3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 any ambiguity, correct or supplement any provision herein which may be inconsistent with any other provision herein or which is otherwise defective, or make any other provisions with respect to matters or questions arising under this Indenture which the Company and the Trustee may deem necessary or desirable and which shall not be inconsistent with the provisions of this Indenture;</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Article X;</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Securities, as herein set forth;</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Securityholder in any material respect;</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the Securities of any series as provided in Section 2.01, to establish the form of any certifications required to be furnished pursuant to the terms of this Indenture or any series of Securities, or to add to the rights of the holders of any series of Securities; or</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color w:val="auto"/>
        </w:rPr>
        <w:t>(h) comply with the requirements of the Commission in order to effect or maintain the qualification of this Indenture under the Trust Indenture Act.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Any supplemental indenture authorized by the provisions of this Section may be executed by the Company and the Trustee without the consent of the holders of any of the Securities at the time Outstanding, notwithstanding any of the provisions of Section 9.02.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9.02 Supplemental Indentures With Consent of Securityholders.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With the written consent of the holders of at least a majority in aggregate principal amount of the Outstanding Securities of any series or by action at a meeting of holders of the Securities of such series in accordance with Section 8.09, by the holders of a majority in aggregate principal amount of the Securities of such series then Outstanding represented at such meeting, the Company, when authorized by Board Resolutions,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Section 9.01 the rights of the holders of the Securities of such series under this Indenture; provided, however, that no such supplemental indenture shall, without the consent of the holders of each Security then Outstanding and affected thereby, (i) extend the fixed maturity of any Securities of any series, or reduce the principal amount thereof, or reduce the rate or extend the time of payment of interest thereon, or reduce any premium payable upon the redemption thereof, (ii) reduce the aforesaid percentage of Securities, the holders of which are required to consent to any such supplemental indenture, or any consent or waiver, (iii) reduce the principal amount of discount securities payable upon acceleration of the maturity of any Securities of any series or (iv) make the principal of or premium or interest on any Security of a series payable in currency or currency units other than that stated in the Securities of such series.</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 shall not be necessary for the consent of the Securityholders of any series affected thereby under this Section to approve the particular form of any proposed supplemental indenture, but it shall be sufficient if such consent shall approve the substance thereof.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9.03 Effect of Supplemental Indentures.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the execution of any supplemental indenture pursuant to the provisions of this Article or of Section 10.01,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color w:val="auto"/>
        </w:rPr>
        <w:t>SECTION 9.04 Securities Affected by Supplemental Indentures.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Securities of any series affected by a supplemental indenture, authenticated and delivered after the execution of such supplemental indenture pursuant to the provisions of this Article or of Section 10.01, may bear a notation in form approved by the Company, provided such form meets the requirements of any exchange upon which such series may be listed, as to any matter provided for in such supplemental indenture. If the Company shall so determine, new Securities of that series so modified as to conform, in the opinion of the Board of Directors of the Company, to any modification of this Indenture contained in any such supplemental indenture may be prepared by the Company, authenticated by the Trustee and delivered in exchange for the Securities of that series then Outstanding.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9.05 Execution of Supplemental Indentures.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7.01, may receive an Opinion of Counsel as conclusive evidence that any supplemental indenture executed pursuant to this Article is authorized or permitted by, and conforms to, the terms of this Article and that it is proper for the Trustee under the provisions of this Article to join in the execution thereof; provided, however, that such Opinion of Counsel need not be provided in connection with the execution of a supplemental indenture that establishes the terms of a series of Securities pursuant to Section 2.01 hereof.</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Promptly after the execution by the Company and the Trustee of any supplemental indenture pursuant to the provisions of this Section, the Trustee shall transmit by mail, first class postage prepaid, a notice, setting forth in general terms the substance of such supplemental indenture, to the Securityholders of all series affected thereby as their names and addresses appear upon the Security Register. Any failure of the Trustee to mail such notice, or any defect therein, shall not, however, in any way impair or affect the validity of any such supplemental indenture.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SUCCESSOR ENTITY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10.01 Company May Consolidate, Etc.</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Nothing contained in this Indenture or in any of the Securities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corporation (whether or not affiliated with the Company or its successor or successors) authorized to acquire and operate the same; provided, however, the Company hereby covenants and agrees that, upon any such consolidation or merger (in each case, if the Company is not the survivor of such transaction), sale, conveyance, transfer or other disposition,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Section 2.01 to be kept or performed by the Company shall be expressly assumed, by supplemental indenture (which shall conform to the provisions of the Trust Indenture Act, as then in effect) satisfactory in form to the Trustee executed and delivered to the Trustee by the entity formed by such consolidation, or into which the Company shall have been merged, or by the entity which shall have acquired such property.</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color w:val="auto"/>
        </w:rPr>
        <w:t>SECTION 10.02 Successor Entity Substituted.</w:t>
      </w:r>
    </w:p>
    <w:p>
      <w:pPr>
        <w:spacing w:after="0" w:line="225" w:lineRule="exact"/>
        <w:rPr>
          <w:sz w:val="20"/>
          <w:szCs w:val="20"/>
          <w:color w:val="auto"/>
        </w:rPr>
      </w:pPr>
    </w:p>
    <w:p>
      <w:pPr>
        <w:jc w:val="both"/>
        <w:ind w:left="340" w:hanging="332"/>
        <w:spacing w:after="0" w:line="256" w:lineRule="auto"/>
        <w:tabs>
          <w:tab w:leader="none" w:pos="3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any such consolidation, merger, sale, conveyance, transfer or other disposition and upon the assumption by the successor entity by supplemental indenture, executed and delivered to the Trustee and satisfactory in form to the Trustee, of the due and punctual payment of the principal of, premium, if any, and interest on all of the Securities of all series Outstanding and the due and punctual performance of all of the covenants and conditions of this Indenture or established with respect to each series of the Securities pursuant to Section 2.01 to be performed by the Company with respect to each series,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spacing w:after="0" w:line="187"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any such consolidation, merger, sale, conveyance, transfer or other disposition such changes in phraseology and form (but not in substance) may be made in the Securities thereafter to be issued as may be appropriate.</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10.03 Evidence of Consolidation, Etc. to Trustee.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Trustee, subject to the provisions of Section 7.01, may receive an Opinion of Counsel as conclusive evidence that any such consolidation, merger, sale, conveyance, transfer or other disposition, and any such assumption, comply with the provisions of this Article.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SATISFACTION AND DISCHARGE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11.01 Satisfaction and Discharge of Indenture.</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at any time: (a) the Company shall have delivered to the Trustee for cancellation all Securities of a series theretofore authenticated (other than any Securities that shall have been destroyed, lost or stolen and that shall have been replaced or paid as provided in Section 2.07) and Securities for whose payment money or Governmental Obligations have theretofore been deposited in trust or segregated and held in trust by the Company (and thereupon repaid to the Company or discharged from such trust, as provided in Section 11.05); or (b) 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sufficient or a combination thereof, sufficient (assuming that no tax liability will be imposed on the Trustee)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Sections 2.03, 2.05, 2.07, 4.01, 4.02, 4.03 and 7.10, that shall survive until the date of maturity or redemption date, as the case may be, and Sections 7.06 and 11.05, that shall survive to such date and thereafter, and the Trustee, on demand of the Company and at the cost and expense of the Company shall execute proper instruments acknowledging satisfaction of and discharging this Indenture with respect to such series.</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color w:val="auto"/>
        </w:rPr>
        <w:t>SECTION 11.02 Discharge of Obligations.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at any time all such Securities of a particular series not heretofore delivered to the Trustee for cancellation or that have not become due and payable as described in Section 11.01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Sections 2.03, 2.05, 2.07, 4,01, 4.02, 4.03, 7.06, 7.10 and 11.05 hereof that shall survive until such Securities shall mature and be paid. Thereafter, Sections 7.06 and 11.05 shall survive.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11.03 Deposited Moneys to be Held in Trust.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Section 11.05, all moneys or Governmental Obligations deposited with the Trustee pursuant to Sections 11.01 or 11.02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11.04 Payment of Moneys Held by Paying Agents.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11.05 Repayment to Company.</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moneys or Governmental Obligations deposited with any paying agent or the Trustee, or then held by the Company, in trust for payment of principal of or premium or interest on the Securities of a particular series that are not applied but remain unclaimed by the holders of such Securities for two years after the date upon which the principal of (and premium, if any) or interest on such Securities shall have respectively become due and payable, shall be repaid to the Company or (if then held by the Company) shall be discharged from such trust in each case, promptly after the end of any such two-year period or, at the request of the Company, on a later date specified by the Company; and thereupon the paying agent and the Trustee shall be released from all further liability with respect to such moneys or Governmental Obligations, and the holder of any of the Securities entitled to receive such payment shall thereafter, as an unsecured general creditor, look only to the Company for the payment thereof.</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8"/>
          <w:szCs w:val="18"/>
          <w:color w:val="auto"/>
        </w:rPr>
        <w:t>ARTICLE XII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IMMUNITY OF INCORPORATORS, STOCKHOLDERS, OFFICERS AND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12.01 No Recourse.</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 PROVISIONS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13.01 Effect on Successors and Assigns.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the covenants, stipulations, promises and agreements in this Indenture contained by or on behalf of the Company shall bind its successors and assigns, whether so expressed or not.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13.02 Actions by Successor.</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13.03 Surrender of Company Powers.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color w:val="auto"/>
        </w:rPr>
        <w:t>SECTION 13.04 Notices.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Except as otherwise expressly provided herein any notice or demand that by any provision of this Indenture is required or permitted to be given or served by the Trustee or by the holders of Securities to or on the Company may be given or served by being deposited first class postage prepaid in a post-office letterbox addressed (until another address is filed in writing by the Company with the Trustee), as follows: KALA BIO, Inc., Attn: [ ], 1167 Massachusetts Avenue, Arlington, MA 02476. Any notice, election, request or demand by the Company or any Securityholder to or upon the Trustee shall be deemed to have been sufficiently given or made, for all purposes, if given or made in writing at the Corporate Trust Office of the Trustee. Any notice or communication to a holder shall be mailed by first-class mail to his address shown on the Security Register kept by the Security Registrar. Failure to mail a notice or communication to a holder or any defect in such notice or communication shall not affect its sufficiency with respect to other holders. If a notice or communication is mailed or sent in the manner provided above within the time prescribed, it is duly given as of the date it is mailed, whether or not the addressee receives it, except that notice to the Trustee or the Company shall only be effective upon receipt thereof by the Trustee or the Company, respectively. If the Company mails a notice or communication to holders of Securities, it shall mail a copy to the Trustee at the same time.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13.05 Governing Law.</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Indenture and each Security shall be deemed to be a contract made under the internal laws of the State of New York, and for all purposes shall be construed in accordance with the laws of said State.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13.06 Treatment of Securities as Debt.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 is intended that the Securities will be treated as indebtedness and not as equity for federal income tax purposes. The provisions of this Indenture shall be interpreted to further this intention.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13.07 Compliance Certificates and Opinions.</w:t>
      </w:r>
    </w:p>
    <w:p>
      <w:pPr>
        <w:spacing w:after="0" w:line="225" w:lineRule="exact"/>
        <w:rPr>
          <w:sz w:val="20"/>
          <w:szCs w:val="20"/>
          <w:color w:val="auto"/>
        </w:rPr>
      </w:pPr>
    </w:p>
    <w:p>
      <w:pPr>
        <w:jc w:val="both"/>
        <w:ind w:left="340" w:hanging="332"/>
        <w:spacing w:after="0" w:line="258" w:lineRule="auto"/>
        <w:tabs>
          <w:tab w:leader="none" w:pos="3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application or demand by the Company to the Trustee to take any action under any of the provisions of this Indenture, the Company, shall furnish to the Trustee an Officers’ Certificate stating that all conditions precedent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57" w:lineRule="auto"/>
        <w:tabs>
          <w:tab w:leader="none" w:pos="3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certificate or opinion provided for in this Indenture and delivered to the Trustee with respect to compliance with a condition or covenant in this Indenture shall include (1) a statement that the Person making such certificate or opinion has read such covenant or condition; (2) a brief statement as to the nature and scope of the examination or investigation upon which the statements or opinions contained in such certificate or opinion are based;</w:t>
      </w:r>
    </w:p>
    <w:p>
      <w:pPr>
        <w:spacing w:after="0" w:line="1" w:lineRule="exact"/>
        <w:rPr>
          <w:rFonts w:ascii="Times New Roman" w:cs="Times New Roman" w:eastAsia="Times New Roman" w:hAnsi="Times New Roman"/>
          <w:sz w:val="18"/>
          <w:szCs w:val="18"/>
          <w:color w:val="auto"/>
        </w:rPr>
      </w:pPr>
    </w:p>
    <w:p>
      <w:pPr>
        <w:jc w:val="both"/>
        <w:ind w:left="3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a statement that, in the opinion of such Person, he has made such examination or investigation as is necessary to enable him to express an informed opinion as to whether or not such covenant or condition has been complied with; and (4) a statement as to whether or not, in the opinion of such Person, such condition or covenant has been complied with.</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13.08 Payments on Business Days.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Except as provided pursuant to Section 2.01 pursuant to a Board Resolution, and as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color w:val="auto"/>
        </w:rPr>
        <w:t>SECTION 13.09 Conflict with Trust Indenture Act.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and to the extent that any provision of this Indenture limits, qualifies or conflicts with the duties imposed by Sections 310 to 317, inclusive, of the Trust Indenture Act, such imposed duties shall control.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13.10 Counterparts.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Indenture may be executed in any number of counterparts, each of which shall be an original, but such counterparts shall together constitute but one and the same instrument.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13.11 Separability.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13.12 Assignment.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will have the right at all times to assign any of its rights or obligations under this Indenture to a direct or indirect wholly-owned Subsidiary of the Company, provided that, in the event of any such assignment, the Company, will remain liable for all such obligations. Subject to the foregoing, this Indenture is binding upon and inures to the benefit of the parties thereto and their respective successors and assigns. This Indenture may not otherwise be assigned by the parties thereto.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SUBORDINATION OF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14.01 Subordination Terms.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payment by the Company of the principal of, premium, if any, and interest on any series of Securities issued hereunder shall be subordinated to the extent set forth in an indenture supplemental hereto relating to the Securities of such series.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7"/>
          <w:szCs w:val="17"/>
          <w:color w:val="auto"/>
        </w:rPr>
        <w:t>IN WITNESS WHEREOF, the parties hereto have caused this Indenture to be duly executed all as of the day and year first above written.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KALA BIO,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Trustee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32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96" w:right="1440"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2143125" cy="3003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2">
                      <a:extLst>
                        <a:ext uri="{28A0092B-C50C-407E-A947-70E740481C1C}"/>
                      </a:extLst>
                    </a:blip>
                    <a:srcRect/>
                    <a:stretch>
                      <a:fillRect/>
                    </a:stretch>
                  </pic:blipFill>
                  <pic:spPr bwMode="auto">
                    <a:xfrm>
                      <a:off x="0" y="0"/>
                      <a:ext cx="2143125" cy="3003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156845</wp:posOffset>
            </wp:positionV>
            <wp:extent cx="428625" cy="419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3">
                      <a:extLst>
                        <a:ext uri="{28A0092B-C50C-407E-A947-70E740481C1C}"/>
                      </a:extLst>
                    </a:blip>
                    <a:srcRect/>
                    <a:stretch>
                      <a:fillRect/>
                    </a:stretch>
                  </pic:blipFill>
                  <pic:spPr bwMode="auto">
                    <a:xfrm>
                      <a:off x="0" y="0"/>
                      <a:ext cx="428625"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May 7,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KALA BIO,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1167 Massachusetts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Arlington, MA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acted as counsel to KALA BIO,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filing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on the date hereof, under the Securities Act of 1933, as amended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of a registration statement on Form S-3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by the Company relating to (i) shares of common stock, $0.001 par value per share, of the Company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(ii) shares of preferred stock, $0.001 par value per share, of the Company (the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(iii) one or more series of debt securities of the Company, which may be convertible into or exchangeable for shares of Common Stock or other securities of the Company (the “</w:t>
      </w:r>
      <w:r>
        <w:rPr>
          <w:rFonts w:ascii="Times New Roman" w:cs="Times New Roman" w:eastAsia="Times New Roman" w:hAnsi="Times New Roman"/>
          <w:sz w:val="18"/>
          <w:szCs w:val="18"/>
          <w:u w:val="single" w:color="auto"/>
          <w:color w:val="auto"/>
        </w:rPr>
        <w:t>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(iv) warrants to purchase Common Stock or Preferred Stock (the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(v) subscription rights to purchase Common Stock or other securities of the Company (the “</w:t>
      </w:r>
      <w:r>
        <w:rPr>
          <w:rFonts w:ascii="Times New Roman" w:cs="Times New Roman" w:eastAsia="Times New Roman" w:hAnsi="Times New Roman"/>
          <w:sz w:val="18"/>
          <w:szCs w:val="18"/>
          <w:u w:val="single" w:color="auto"/>
          <w:color w:val="auto"/>
        </w:rPr>
        <w:t>Subscription Rights</w:t>
      </w:r>
      <w:r>
        <w:rPr>
          <w:rFonts w:ascii="Times New Roman" w:cs="Times New Roman" w:eastAsia="Times New Roman" w:hAnsi="Times New Roman"/>
          <w:sz w:val="18"/>
          <w:szCs w:val="18"/>
          <w:color w:val="auto"/>
        </w:rPr>
        <w:t>”), and (vi) units comprised of one or more shares of Common Stock, shares of Preferred Stock, Debt Securities, Warrants, or Subscription Rights in any combination (the “</w:t>
      </w:r>
      <w:r>
        <w:rPr>
          <w:rFonts w:ascii="Times New Roman" w:cs="Times New Roman" w:eastAsia="Times New Roman" w:hAnsi="Times New Roman"/>
          <w:sz w:val="18"/>
          <w:szCs w:val="18"/>
          <w:u w:val="single" w:color="auto"/>
          <w:color w:val="auto"/>
        </w:rPr>
        <w:t>Units</w:t>
      </w:r>
      <w:r>
        <w:rPr>
          <w:rFonts w:ascii="Times New Roman" w:cs="Times New Roman" w:eastAsia="Times New Roman" w:hAnsi="Times New Roman"/>
          <w:sz w:val="18"/>
          <w:szCs w:val="18"/>
          <w:color w:val="auto"/>
        </w:rPr>
        <w:t>” and, together with the Common Stock, the Preferred Stock, the Debt Securities, the Warrants and the Subscription Rights,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and each individually, a “</w:t>
      </w:r>
      <w:r>
        <w:rPr>
          <w:rFonts w:ascii="Times New Roman" w:cs="Times New Roman" w:eastAsia="Times New Roman" w:hAnsi="Times New Roman"/>
          <w:sz w:val="18"/>
          <w:szCs w:val="18"/>
          <w:u w:val="single" w:color="auto"/>
          <w:color w:val="auto"/>
        </w:rPr>
        <w:t>Security</w:t>
      </w:r>
      <w:r>
        <w:rPr>
          <w:rFonts w:ascii="Times New Roman" w:cs="Times New Roman" w:eastAsia="Times New Roman" w:hAnsi="Times New Roman"/>
          <w:sz w:val="18"/>
          <w:szCs w:val="18"/>
          <w:color w:val="auto"/>
        </w:rPr>
        <w:t>”) that may be issued and sold from time to time pursuant to Rule 415 under the Act for an aggregate initial offering price not to exceed $350,000,000.</w:t>
      </w:r>
    </w:p>
    <w:p>
      <w:pPr>
        <w:spacing w:after="0" w:line="19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Securities will be offered in amounts, at prices, and on terms to be determined in light of market conditions at the time of sale and to be set forth in supplements to the prospectus contained in the Registration Statement.</w:t>
      </w:r>
    </w:p>
    <w:p>
      <w:pPr>
        <w:spacing w:after="0" w:line="16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For purposes of the opinions we express below, we have examined originals, or copies certified or otherwise identified, of (i) the Company’s Amended and Restated Certificate of Incorporation and Amended and Restated Bylaws, each as amended and/or restated as of the date hereof (the “</w:t>
      </w:r>
      <w:r>
        <w:rPr>
          <w:rFonts w:ascii="Times New Roman" w:cs="Times New Roman" w:eastAsia="Times New Roman" w:hAnsi="Times New Roman"/>
          <w:sz w:val="18"/>
          <w:szCs w:val="18"/>
          <w:u w:val="single" w:color="auto"/>
          <w:color w:val="auto"/>
        </w:rPr>
        <w:t>Charter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 (ii) the base prospectus for the offer and sale of the Securities (as may be amended or supplemented, the “</w:t>
      </w:r>
      <w:r>
        <w:rPr>
          <w:rFonts w:ascii="Times New Roman" w:cs="Times New Roman" w:eastAsia="Times New Roman" w:hAnsi="Times New Roman"/>
          <w:sz w:val="18"/>
          <w:szCs w:val="18"/>
          <w:u w:val="single" w:color="auto"/>
          <w:color w:val="auto"/>
        </w:rPr>
        <w:t>Base Prospectus</w:t>
      </w:r>
      <w:r>
        <w:rPr>
          <w:rFonts w:ascii="Times New Roman" w:cs="Times New Roman" w:eastAsia="Times New Roman" w:hAnsi="Times New Roman"/>
          <w:sz w:val="18"/>
          <w:szCs w:val="18"/>
          <w:color w:val="auto"/>
        </w:rPr>
        <w:t>”); (iii) the form of Indenture filed as Exhibit 4.7 to the Registration Statement to be executed by the Company, as issuer, and the trustee thereunder (referred to herein, together with any supplements to such Indenture entered into in the future, collectively, as the “</w:t>
      </w:r>
      <w:r>
        <w:rPr>
          <w:rFonts w:ascii="Times New Roman" w:cs="Times New Roman" w:eastAsia="Times New Roman" w:hAnsi="Times New Roman"/>
          <w:sz w:val="18"/>
          <w:szCs w:val="18"/>
          <w:u w:val="single" w:color="auto"/>
          <w:color w:val="auto"/>
        </w:rPr>
        <w:t>Senior Debt Indenture</w:t>
      </w:r>
      <w:r>
        <w:rPr>
          <w:rFonts w:ascii="Times New Roman" w:cs="Times New Roman" w:eastAsia="Times New Roman" w:hAnsi="Times New Roman"/>
          <w:sz w:val="18"/>
          <w:szCs w:val="18"/>
          <w:color w:val="auto"/>
        </w:rPr>
        <w:t>”) pursuant to which senior Debt Securities may be issued; (iv) the form of Indenture filed as Exhibit 4.8 to the Registration Statement to be executed by the Company, as issuer, and the trustee thereunder (referred to herein, together with any supplement to such Indenture entered into in the future, collectively, as the “</w:t>
      </w:r>
      <w:r>
        <w:rPr>
          <w:rFonts w:ascii="Times New Roman" w:cs="Times New Roman" w:eastAsia="Times New Roman" w:hAnsi="Times New Roman"/>
          <w:sz w:val="18"/>
          <w:szCs w:val="18"/>
          <w:u w:val="single" w:color="auto"/>
          <w:color w:val="auto"/>
        </w:rPr>
        <w:t>Subordinated 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pursuant to which subordinated Debt Securities may be issued; (v) certain resolutions of the Company Board (as defined below) related to the filing of the Registration Statement and the Base Prospectus, the authorization and issuance of the Securities and related matters; (vi) the Registration Statement and all exhibits thereto; (vii) a certificate executed by an officer of the Company, dated as of the date hereof and (viii) such other records, documents and instruments as we have deemed necessary or appropriate for purposes of the opinions hereafter expressed.</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to questions of fact material to the opinions expressed below, we have, without independent verification of their accuracy, relied to the extent we deem reasonably appropriate upon the representations and warranties of the Company contained in such documents, records, certificates, instruments or representations furnished or made available to us by the Company.</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making the foregoing examination, we have assumed (i) the genuineness of all signatures, (ii) the authenticity of all documents submitted to us as originals, (iii) the conformity to original documents of all documents submitted to us as certified or photostatic copies, (iv) that all agreements or instruments we have examined are the valid, binding and enforceable obligations of the parties thereto, and (v) that all factual information on which we have relied was accurate and complete.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color w:val="auto"/>
        </w:rPr>
        <w:t>KALA BIO,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7,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31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have also assumed that (i) the Company will continue to be incorporated and in existence and good standing in its jurisdiction of organization, (ii) the Registration Statement, and any amendments thereto (including post-effective amendments), will have become effective; (iii) no stop order of the Commission preventing or suspending the use of the Base Prospectus contained in the Registration Statement or any prospectus supplement will have been issued; (iv) a prospectus supplement will have been prepared and filed with the Commission properly describing the Securities offered thereby and will have been delivered to the purchaser(s) of the Securities as required in accordance with applicable law; (v) all Securities will be offered, issued and sold in compliance with applicable federal and state securities laws and in the manner stated in the Registration Statement and the appropriate prospectus supplement; (vi) a definitive purchase, underwriting or similar agreement with respect to any Securities offered will have been duly authorized and validly executed and delivered by the Company and the other parties thereto and will be an enforceable obligation of the parties thereto; (vii) any applicable indenture and indenture supplement entered into in connection with the issuance of Debt Securities will comply with applicable law and be enforceable in all respects in accordance with its terms; (viii) in connection with the sale of Warrants, any required warrant agreement or agreement relating to the Warrants (a “</w:t>
      </w:r>
      <w:r>
        <w:rPr>
          <w:rFonts w:ascii="Times New Roman" w:cs="Times New Roman" w:eastAsia="Times New Roman" w:hAnsi="Times New Roman"/>
          <w:sz w:val="18"/>
          <w:szCs w:val="18"/>
          <w:u w:val="single" w:color="auto"/>
          <w:color w:val="auto"/>
        </w:rPr>
        <w:t>Warrant Agreement</w:t>
      </w:r>
      <w:r>
        <w:rPr>
          <w:rFonts w:ascii="Times New Roman" w:cs="Times New Roman" w:eastAsia="Times New Roman" w:hAnsi="Times New Roman"/>
          <w:sz w:val="18"/>
          <w:szCs w:val="18"/>
          <w:color w:val="auto"/>
        </w:rPr>
        <w:t>”) will have been executed and delivered by all applicable parties and will be enforceable in all respects in accordance with its terms; (ix) in connection with the sale of Subscription Rights, any required agreement or agreement relating to the Subscription Rights (a “</w:t>
      </w:r>
      <w:r>
        <w:rPr>
          <w:rFonts w:ascii="Times New Roman" w:cs="Times New Roman" w:eastAsia="Times New Roman" w:hAnsi="Times New Roman"/>
          <w:sz w:val="18"/>
          <w:szCs w:val="18"/>
          <w:u w:val="single" w:color="auto"/>
          <w:color w:val="auto"/>
        </w:rPr>
        <w:t>Subscription Rights Agreement</w:t>
      </w:r>
      <w:r>
        <w:rPr>
          <w:rFonts w:ascii="Times New Roman" w:cs="Times New Roman" w:eastAsia="Times New Roman" w:hAnsi="Times New Roman"/>
          <w:sz w:val="18"/>
          <w:szCs w:val="18"/>
          <w:color w:val="auto"/>
        </w:rPr>
        <w:t>”) will have been executed and delivered by all applicable parties and will be enforceable in all respects in accordance with its terms and (x) in connection with the sale of any Units, any required unit agreement relating to the Units (a “</w:t>
      </w:r>
      <w:r>
        <w:rPr>
          <w:rFonts w:ascii="Times New Roman" w:cs="Times New Roman" w:eastAsia="Times New Roman" w:hAnsi="Times New Roman"/>
          <w:sz w:val="18"/>
          <w:szCs w:val="18"/>
          <w:u w:val="single" w:color="auto"/>
          <w:color w:val="auto"/>
        </w:rPr>
        <w:t>Unit Agreement</w:t>
      </w:r>
      <w:r>
        <w:rPr>
          <w:rFonts w:ascii="Times New Roman" w:cs="Times New Roman" w:eastAsia="Times New Roman" w:hAnsi="Times New Roman"/>
          <w:sz w:val="18"/>
          <w:szCs w:val="18"/>
          <w:color w:val="auto"/>
        </w:rPr>
        <w:t>”) will have been executed and delivered by all applicable parties and will be enforceable in all respects in accordance with its terms; (xi) any securities issuable upon conversion, exchange, redemption or exercise of any Securities being offered will be duly and validly authorized, created and, if appropriate, reserved for issuance upon such conversion, exchange, redemption or exercise; and (xii) with respect to shares of Common Stock or Preferred Stock offered or underlying the Securities offered, there will be sufficient shares of Common Stock or Preferred Stock authorized under the Charter Documents and not otherwise reserved for issuance.</w:t>
      </w:r>
    </w:p>
    <w:p>
      <w:pPr>
        <w:spacing w:after="0" w:line="1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Based on the foregoing, and subject to the limitations and qualifications set forth herein, we are of the opinion that:</w:t>
      </w:r>
    </w:p>
    <w:p>
      <w:pPr>
        <w:spacing w:after="0" w:line="225" w:lineRule="exact"/>
        <w:rPr>
          <w:sz w:val="20"/>
          <w:szCs w:val="20"/>
          <w:color w:val="auto"/>
        </w:rPr>
      </w:pPr>
    </w:p>
    <w:p>
      <w:pPr>
        <w:jc w:val="both"/>
        <w:ind w:left="340" w:hanging="332"/>
        <w:spacing w:after="0" w:line="252" w:lineRule="auto"/>
        <w:tabs>
          <w:tab w:leader="none" w:pos="3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shares of Common Stock, when (i) the Board of Directors of the Company or, to the extent permitted by the General Corporation Law of the State of Delaware and the Charter Documents, a duly constituted and acting committee thereof (such Board of Directors or committee being hereinafter referred to as the “</w:t>
      </w:r>
      <w:r>
        <w:rPr>
          <w:rFonts w:ascii="Times New Roman" w:cs="Times New Roman" w:eastAsia="Times New Roman" w:hAnsi="Times New Roman"/>
          <w:sz w:val="18"/>
          <w:szCs w:val="18"/>
          <w:u w:val="single" w:color="auto"/>
          <w:color w:val="auto"/>
        </w:rPr>
        <w:t>Company Board</w:t>
      </w:r>
      <w:r>
        <w:rPr>
          <w:rFonts w:ascii="Times New Roman" w:cs="Times New Roman" w:eastAsia="Times New Roman" w:hAnsi="Times New Roman"/>
          <w:sz w:val="18"/>
          <w:szCs w:val="18"/>
          <w:color w:val="auto"/>
        </w:rPr>
        <w:t>”) has taken all necessary corporate action to approve the issuance thereof and the terms of the offering of shares of Common Stock and related matters, and (ii) certificates representing the shares of Common Stock have been duly executed, countersigned, registered and delivered, or if uncertificated, valid book-entry notations have been made in the share register of the Company, in each case in accordance with the provisions of the Charter Documents, either (a) in accordance with the applicable definitive purchase, underwriting or similar agreement approved by the Company Board and upon payment of the consideration therefor (which shall not be less than the par value of the Common Stock) provided for therein, all in accordance with the Registration Statement and any applicable prospectus supplement, or (b) upon conversion, exchange, redemption or exercise of any other Security, in accordance with the terms of such Security or the instrument governing such Security providing for such conversion, exchange, redemption or exercise as approved by the Company Board, and for the consideration approved by the Company Board (which shall not be less than the par value of the Common Stock), all in accordance with the Registration Statement and any applicable prospectus supplement, the shares of Common Stock will be validly issued, fully paid and non-assessable. The Common Stock covered in the opinion in this paragraph includes any shares of Common Stock that may be issued upon exercise, conversion or exchange pursuant to the terms of any other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color w:val="auto"/>
        </w:rPr>
        <w:t>KALA BIO,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7,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315" w:lineRule="exact"/>
        <w:rPr>
          <w:sz w:val="20"/>
          <w:szCs w:val="20"/>
          <w:color w:val="auto"/>
        </w:rPr>
      </w:pPr>
    </w:p>
    <w:p>
      <w:pPr>
        <w:jc w:val="both"/>
        <w:ind w:left="340" w:hanging="332"/>
        <w:spacing w:after="0" w:line="252" w:lineRule="auto"/>
        <w:tabs>
          <w:tab w:leader="none" w:pos="3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shares of Preferred Stock, when (i) the Company Board has taken all necessary corporate action to approve and establish the terms of the shares of Preferred Stock, to approve the issuance thereof and the terms of the offering thereof and related matters, including the adoption of a Certificate of Designations relating to such Preferred Stock (a “</w:t>
      </w:r>
      <w:r>
        <w:rPr>
          <w:rFonts w:ascii="Times New Roman" w:cs="Times New Roman" w:eastAsia="Times New Roman" w:hAnsi="Times New Roman"/>
          <w:sz w:val="18"/>
          <w:szCs w:val="18"/>
          <w:u w:val="single" w:color="auto"/>
          <w:color w:val="auto"/>
        </w:rPr>
        <w:t>Certificate of Designations</w:t>
      </w:r>
      <w:r>
        <w:rPr>
          <w:rFonts w:ascii="Times New Roman" w:cs="Times New Roman" w:eastAsia="Times New Roman" w:hAnsi="Times New Roman"/>
          <w:sz w:val="18"/>
          <w:szCs w:val="18"/>
          <w:color w:val="auto"/>
        </w:rPr>
        <w:t>”), and such Certificate of Designations has been filed with the Secretary of State of the State of Delaware, and (ii) certificates representing the shares of Preferred Stock have been duly executed, countersigned, registered and delivered, or if uncertificated, valid book-entry notations have been made in the share register of the Company, in each case in accordance with the provisions of the Charter Documents, either (a) in accordance with the applicable definitive purchase, underwriting or similar agreement approved by the Company Board and upon payment of the consideration therefor (which shall not be less than the par value of the Preferred Stock) provided for therein, all in accordance with the Registration Statement and any applicable prospectus supplement, or (b) upon conversion, exchange, redemption or exercise of any other Security, in accordance with the terms of such Security or the instrument governing such Security providing for such conversion, exchange, redemption or exercise as approved by the Company Board, and for the consideration approved by the Company Board (which shall not be less than the par value of the Preferred Stock), all in accordance with the Registration Statement and any applicable prospectus supplement, the shares of Preferred Stock will be validly issued, fully paid and non-assessable. The Preferred Stock covered in the opinion by this paragraph includes only shares of Preferred Stock that may be issued upon exercise, conversion or exchange pursuant to the terms of any other Securities.</w:t>
      </w:r>
    </w:p>
    <w:p>
      <w:pPr>
        <w:spacing w:after="0" w:line="197"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Debt Securities to be issued under the Senior Debt Indenture, when (i) the Senior Debt Indenture has been duly authorized and validly executed and delivered by the Company and the trustee thereunder, (ii) the trustee under the Senior Debt Indenture is qualified to act as trustee under the Senior Debt Indenture, (iii) the Senior Debt Indenture has been duly qualified under the Trust Indenture Act of 1939, as amended (the “</w:t>
      </w:r>
      <w:r>
        <w:rPr>
          <w:rFonts w:ascii="Times New Roman" w:cs="Times New Roman" w:eastAsia="Times New Roman" w:hAnsi="Times New Roman"/>
          <w:sz w:val="18"/>
          <w:szCs w:val="18"/>
          <w:u w:val="single" w:color="auto"/>
          <w:color w:val="auto"/>
        </w:rPr>
        <w:t>Trust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Indenture Act</w:t>
      </w:r>
      <w:r>
        <w:rPr>
          <w:rFonts w:ascii="Times New Roman" w:cs="Times New Roman" w:eastAsia="Times New Roman" w:hAnsi="Times New Roman"/>
          <w:sz w:val="18"/>
          <w:szCs w:val="18"/>
          <w:color w:val="auto"/>
        </w:rPr>
        <w:t>”), (iv) the Company Board has taken all necessary corporate action to approve and establish the terms of such Debt Securities, to approve the issuance thereof and the terms of the offering thereof and related matters and such Debt Securities do not include any provision that is unenforceable, and (v) such Debt Securities have been duly established, executed, authenticated, issued and delivered in accordance with both the provisions of the Senior Debt Indenture and either (a) the provisions of the applicable definitive purchase, underwriting or similar agreement approved by the Company Board and upon payment of the consideration therefor provided for therein or (b) upon conversion, exchange, redemption or exercise of any other Security, in accordance with the terms of such Security or the instrument governing such Security providing for such conversion, exchange, redemption or exercise as approved by the Company Board and for the consideration approved by the Company Board, all in accordance with the Registration Statement and any applicable prospectus supplement, such Debt Securities will constitute legal, valid and binding obligations of the Company.</w:t>
      </w:r>
    </w:p>
    <w:p>
      <w:pPr>
        <w:spacing w:after="0" w:line="189"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Debt Securities to be issued under the Subordinated Debt Indenture, when (i) the Subordinated Debt Indenture has been duly authorized and validly executed and delivered by the Company and the trustee thereunder, (ii) the trustee under the Subordinated Debt Indenture is qualified to act as trustee under the Subordinated Debt Indenture, (iii) the Subordinated Debt Indenture has been duly qualified under the Trust Indenture Act, (iv) the Company Board has taken all necessary corporate action to approve and establish the terms of such Debt Securities, to approve the issuance thereof and the terms of the offering thereof and related matters and such Debt Securities do not include any provision that is unenforceable, and (v) such Debt Securities have been duly established, executed, authenticated, issued and delivered in accordance with both the provisions of the Subordinated Debt Indenture and either (a) the provisions of the applicable definitive purchase, underwriting or similar agreement approved by the Company Board and upon payment of the consideration therefor provided for therein or (b) upon conversion, exchange, redemption or exercise of any other Security, in accordance with the terms of such Security or the instrument governing such Security providing for such conversion, exchange, redemption or exercise as approved by the Company Board and for the consideration approved by the Company Board, all in accordance with the Registration Statement and any applicable prospectus supplement, such Debt Securities will constitute legal, valid and binding obligations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color w:val="auto"/>
        </w:rPr>
        <w:t>KALA BIO,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7,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315" w:lineRule="exact"/>
        <w:rPr>
          <w:sz w:val="20"/>
          <w:szCs w:val="20"/>
          <w:color w:val="auto"/>
        </w:rPr>
      </w:pPr>
    </w:p>
    <w:p>
      <w:pPr>
        <w:jc w:val="both"/>
        <w:ind w:left="340" w:hanging="332"/>
        <w:spacing w:after="0" w:line="254" w:lineRule="auto"/>
        <w:tabs>
          <w:tab w:leader="none" w:pos="3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Warrants, when (i) the Company Board has taken all necessary corporate action to approve the creation of and the issuance and terms of the Warrants, the terms of the offering thereof and related matters, (ii) the Warrant Agreements and Warrants have been duly prepared, authorized and validly executed and delivered by the Company and the other parties thereto (if any) in compliance with all applicable laws, and (iii) the Warrants or certificates representing the Warrants have been duly registered and delivered in accordance with the appropriate Warrant Agreements and the applicable definitive purchase, underwriting or similar agreement approved by the Company Board and upon payment of the consideration therefor provided for therein (which shall not be less than the par value of any Common Stock or Preferred Stock underlying such Warrants), all in accordance with the Registration Statement and any prospectus supplement, the Warrants will constitute valid and legally binding obligations of the Company.</w:t>
      </w:r>
    </w:p>
    <w:p>
      <w:pPr>
        <w:spacing w:after="0" w:line="191"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Subscription Rights, when (i) the Company Board has taken all necessary corporate action to approve the creation of and the issuance and terms of the Subscription Rights, the terms of the offering thereof and related matters, (ii) the Subscription Rights Agreements and Subscription Rights have been duly prepared, authorized and validly executed and delivered by the Company and the other parties thereto (if any) in compliance with all applicable laws, and (iii) the Subscription Rights or certificates representing the Subscription Rights have been duly registered and delivered in accordance with the appropriate Subscription Rights Agreement and the applicable definitive purchase, underwriting or similar agreement approved by the Company Board and upon payment of the consideration therefor provided for therein (which shall not be less than the par value of any Common Stock or Preferred Stock underlying such Subscription Rights), all in accordance with the Registration Statement and any prospectus supplement, the Subscription Agreement will constitute valid and legally binding obligations of the Company.</w:t>
      </w:r>
    </w:p>
    <w:p>
      <w:pPr>
        <w:spacing w:after="0" w:line="191"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Units, when (i) the Company Board has taken all necessary corporate action to approve the creation of and the issuance and terms of the Units, the terms of the offering thereof and related matters, (ii) the Unit Agreements and Units have been duly prepared, authorized and validly executed and delivered by the Company and the other parties thereto (if any) in compliance with all applicable laws, and (iii) the Units or certificates representing the Units have been duly registered and delivered in accordance with the appropriate Unit Agreements and the applicable definitive purchase, underwriting or similar agreement approved by the Company Board and upon payment of the consideration therefor provided for therein (which shall not be less than the par value of any Common Stock or Preferred Stock underlying such Units), all in accordance with the Registration Statement and any prospectus supplement, the Units will constitute valid and legally binding obligations of the Company.</w:t>
      </w:r>
    </w:p>
    <w:p>
      <w:pPr>
        <w:spacing w:after="0" w:line="188"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opinions set forth above are subject to the following qualifications, limitations and exceptions: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opinions are subject to (i) the effect of any applicable bankruptcy, insolvency, reorganization, moratorium, rearrangement, liquidation, conservatorship or other similar laws now or hereafter in effect relating to or affecting the rights of creditors generally, (ii) provisions of applicable law pertaining to the voidability of preferential or fraudulent transfers and conveyances and (iii) the fact that the remedy of specific performance and injunctive and other forms of equitable relief may be subject to equitable defenses and to the discretion of the court before which any proceeding therefor may be brought.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color w:val="auto"/>
        </w:rPr>
        <w:t>KALA BIO,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7,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w:t>
      </w:r>
    </w:p>
    <w:p>
      <w:pPr>
        <w:spacing w:after="0" w:line="315" w:lineRule="exact"/>
        <w:rPr>
          <w:sz w:val="20"/>
          <w:szCs w:val="20"/>
          <w:color w:val="auto"/>
        </w:rPr>
      </w:pPr>
    </w:p>
    <w:p>
      <w:pPr>
        <w:jc w:val="both"/>
        <w:ind w:left="660" w:hanging="328"/>
        <w:spacing w:after="0" w:line="256" w:lineRule="auto"/>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opinions are subject to the effect of (i) general principles of equity, including (without limitation) concepts of materiality, reasonableness, good faith and fair dealing, general matters of public policy and other similar doctrines generally affecting the enforceability of agreements (regardless of whether considered in a proceeding in equity or at law) (ii) obligations of good faith and fair dealing under New York law, and (iii) other commonly-recognized statutory and judicial constraints on enforceability, including statutes of limitation, limitations on rights to indemnification that contravene law or public policy and the effectiveness of waivers of rights or benefits that cannot be effectively waived under applicable law.</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rendering the opinions, we have assumed that, at the time of the sale of the Securities, (i) the resolutions of the Company Board or similar governing body, as reflected in the minutes and proceedings of the Company, will not have been modified or rescinded and (ii) there will not have occurred any change in the laws affecting the authorization, execution, delivery, issuance, sale, ranking, validity or enforceability of the Securities.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opinions expressed herein are limited to the federal laws of the United States of America, and, to the extent relevant to the opinions expressed herein, (i) the Delaware General Corporation Law and (ii) the laws of the State of New York, in each case as in effect on the date hereof (all of the foregoing being referred to as the “</w:t>
      </w:r>
      <w:r>
        <w:rPr>
          <w:rFonts w:ascii="Times New Roman" w:cs="Times New Roman" w:eastAsia="Times New Roman" w:hAnsi="Times New Roman"/>
          <w:sz w:val="18"/>
          <w:szCs w:val="18"/>
          <w:u w:val="single" w:color="auto"/>
          <w:color w:val="auto"/>
        </w:rPr>
        <w:t>Opined on Law</w:t>
      </w:r>
      <w:r>
        <w:rPr>
          <w:rFonts w:ascii="Times New Roman" w:cs="Times New Roman" w:eastAsia="Times New Roman" w:hAnsi="Times New Roman"/>
          <w:sz w:val="18"/>
          <w:szCs w:val="18"/>
          <w:color w:val="auto"/>
        </w:rPr>
        <w:t>”). We do not express any opinion with respect to any other laws, or the laws of any other jurisdiction (including, without limitation, any laws of any other jurisdiction which might be referenced by the choice-of-law rules of the Opined on Law), other than the Opined on Law or as to the effect of any such other laws on the opinions herein stated.</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hereby consent to the filing of this opinion as Exhibit 5.1 to the Registration Statement and to the reference to our firm contained therein under the heading “Legal Matters.” In giving this consent, we do not hereby admit we are in the category of persons whose consent is required under Section 7 of the Act or the rules and regulations of the Commission thereunder. This opinion is given as of the date hereof and we assume no obligation to update or supplement such opinion after the date hereof to reflect any facts or circumstances that may thereafter come to our attention or any changes that may thereafter occur.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Haynes and Boone,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Haynes and Boone,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S-3 of KALA BIO, Inc of our report dated April 15, 2026, with respect to the consolidated financial statements of KALA BIO, Inc as of December 31, 2025, and for the year then ended, appearing in KALA BIO Inc’s Annual Report on Form 10-K for the fiscal year ended December 31, 2025, filed with the Securities and Exchange Commission on April 15,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to our firm under the caption “Experts” in such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HTL International,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TX</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S-3 of our report dated March 31, 2025, relating to the financial statements of KALA BIO, Inc. appearing in the Annual Report on Form 10-K for the year ended December 31, 2025. We also consent to the reference to us under the heading “Experts” in such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6" w:name="page147"/>
    <w:bookmarkEnd w:id="146"/>
    <w:p>
      <w:pPr>
        <w:ind w:left="10360"/>
        <w:spacing w:after="0"/>
        <w:rPr>
          <w:sz w:val="20"/>
          <w:szCs w:val="20"/>
          <w:color w:val="auto"/>
        </w:rPr>
      </w:pPr>
      <w:r>
        <w:rPr>
          <w:rFonts w:ascii="Times New Roman" w:cs="Times New Roman" w:eastAsia="Times New Roman" w:hAnsi="Times New Roman"/>
          <w:sz w:val="17"/>
          <w:szCs w:val="17"/>
          <w:b w:val="1"/>
          <w:bCs w:val="1"/>
          <w:color w:val="auto"/>
        </w:rPr>
        <w:t>Exhibit 107</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S-3</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KALA BIO, Inc.</w:t>
      </w:r>
    </w:p>
    <w:p>
      <w:pPr>
        <w:spacing w:after="0" w:line="195" w:lineRule="exact"/>
        <w:rPr>
          <w:sz w:val="20"/>
          <w:szCs w:val="20"/>
          <w:color w:val="auto"/>
        </w:rPr>
      </w:pPr>
    </w:p>
    <w:p>
      <w:pPr>
        <w:spacing w:after="0" w:line="207" w:lineRule="exact"/>
        <w:tabs>
          <w:tab w:leader="none" w:pos="9860" w:val="left"/>
        </w:tabs>
        <w:rPr>
          <w:sz w:val="20"/>
          <w:szCs w:val="20"/>
          <w:color w:val="auto"/>
        </w:rPr>
      </w:pPr>
      <w:r>
        <w:rPr>
          <w:rFonts w:ascii="Times New Roman" w:cs="Times New Roman" w:eastAsia="Times New Roman" w:hAnsi="Times New Roman"/>
          <w:sz w:val="18"/>
          <w:szCs w:val="18"/>
          <w:b w:val="1"/>
          <w:bCs w:val="1"/>
          <w:color w:val="auto"/>
        </w:rPr>
        <w:t>Table 1: Newly Registered and Carry Forward Securities</w:t>
      </w:r>
      <w:r>
        <w:rPr>
          <w:sz w:val="20"/>
          <w:szCs w:val="20"/>
          <w:color w:val="auto"/>
        </w:rPr>
        <w:tab/>
      </w:r>
      <w:r>
        <w:rPr>
          <w:rFonts w:ascii="MS PGothic" w:cs="MS PGothic" w:eastAsia="MS PGothic" w:hAnsi="MS PGothic"/>
          <w:sz w:val="17"/>
          <w:szCs w:val="17"/>
          <w:color w:val="auto"/>
          <w:highlight w:val="black"/>
        </w:rPr>
        <w:t xml:space="preserve">☐ </w:t>
      </w:r>
      <w:r>
        <w:rPr>
          <w:rFonts w:ascii="Times New Roman" w:cs="Times New Roman" w:eastAsia="Times New Roman" w:hAnsi="Times New Roman"/>
          <w:sz w:val="17"/>
          <w:szCs w:val="17"/>
          <w:b w:val="1"/>
          <w:bCs w:val="1"/>
          <w:color w:val="auto"/>
        </w:rPr>
        <w:t>Not Applicable</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0" w:type="dxa"/>
            <w:vAlign w:val="bottom"/>
          </w:tcPr>
          <w:p>
            <w:pPr>
              <w:spacing w:after="0"/>
              <w:rPr>
                <w:sz w:val="1"/>
                <w:szCs w:val="1"/>
                <w:color w:val="auto"/>
              </w:rPr>
            </w:pPr>
          </w:p>
        </w:tc>
      </w:tr>
      <w:tr>
        <w:trPr>
          <w:trHeight w:val="173"/>
        </w:trPr>
        <w:tc>
          <w:tcPr>
            <w:tcW w:w="940" w:type="dxa"/>
            <w:vAlign w:val="bottom"/>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0" w:type="dxa"/>
            <w:vAlign w:val="bottom"/>
          </w:tcPr>
          <w:p>
            <w:pPr>
              <w:spacing w:after="0"/>
              <w:rPr>
                <w:sz w:val="1"/>
                <w:szCs w:val="1"/>
                <w:color w:val="auto"/>
              </w:rPr>
            </w:pPr>
          </w:p>
        </w:tc>
      </w:tr>
      <w:tr>
        <w:trPr>
          <w:trHeight w:val="294"/>
        </w:trPr>
        <w:tc>
          <w:tcPr>
            <w:tcW w:w="94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594"/>
        </w:trPr>
        <w:tc>
          <w:tcPr>
            <w:tcW w:w="94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594"/>
        </w:trPr>
        <w:tc>
          <w:tcPr>
            <w:tcW w:w="94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Debt</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Other</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Other</w:t>
            </w:r>
          </w:p>
        </w:tc>
        <w:tc>
          <w:tcPr>
            <w:tcW w:w="0" w:type="dxa"/>
            <w:vAlign w:val="bottom"/>
          </w:tcPr>
          <w:p>
            <w:pPr>
              <w:spacing w:after="0"/>
              <w:rPr>
                <w:sz w:val="1"/>
                <w:szCs w:val="1"/>
                <w:color w:val="auto"/>
              </w:rPr>
            </w:pPr>
          </w:p>
        </w:tc>
      </w:tr>
      <w:tr>
        <w:trPr>
          <w:trHeight w:val="176"/>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Fees to be</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Unallocated</w:t>
            </w:r>
          </w:p>
        </w:tc>
        <w:tc>
          <w:tcPr>
            <w:tcW w:w="0" w:type="dxa"/>
            <w:vAlign w:val="bottom"/>
          </w:tcPr>
          <w:p>
            <w:pPr>
              <w:spacing w:after="0"/>
              <w:rPr>
                <w:sz w:val="1"/>
                <w:szCs w:val="1"/>
                <w:color w:val="auto"/>
              </w:rPr>
            </w:pPr>
          </w:p>
        </w:tc>
      </w:tr>
      <w:tr>
        <w:trPr>
          <w:trHeight w:val="164"/>
        </w:trPr>
        <w:tc>
          <w:tcPr>
            <w:tcW w:w="940" w:type="dxa"/>
            <w:vAlign w:val="bottom"/>
          </w:tcPr>
          <w:p>
            <w:pPr>
              <w:ind w:left="180"/>
              <w:spacing w:after="0" w:line="164" w:lineRule="exact"/>
              <w:rPr>
                <w:sz w:val="20"/>
                <w:szCs w:val="20"/>
                <w:color w:val="auto"/>
              </w:rPr>
            </w:pPr>
            <w:r>
              <w:rPr>
                <w:rFonts w:ascii="Times New Roman" w:cs="Times New Roman" w:eastAsia="Times New Roman" w:hAnsi="Times New Roman"/>
                <w:sz w:val="12"/>
                <w:szCs w:val="12"/>
                <w:color w:val="auto"/>
              </w:rPr>
              <w:t>Paid</w:t>
            </w:r>
            <w:r>
              <w:rPr>
                <w:rFonts w:ascii="Times New Roman" w:cs="Times New Roman" w:eastAsia="Times New Roman" w:hAnsi="Times New Roman"/>
                <w:sz w:val="19"/>
                <w:szCs w:val="19"/>
                <w:color w:val="auto"/>
                <w:vertAlign w:val="superscript"/>
              </w:rPr>
              <w:t>1</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(Universal)</w:t>
            </w:r>
          </w:p>
        </w:tc>
        <w:tc>
          <w:tcPr>
            <w:tcW w:w="0" w:type="dxa"/>
            <w:vAlign w:val="bottom"/>
          </w:tcPr>
          <w:p>
            <w:pPr>
              <w:spacing w:after="0"/>
              <w:rPr>
                <w:sz w:val="1"/>
                <w:szCs w:val="1"/>
                <w:color w:val="auto"/>
              </w:rPr>
            </w:pPr>
          </w:p>
        </w:tc>
      </w:tr>
      <w:tr>
        <w:trPr>
          <w:trHeight w:val="188"/>
        </w:trPr>
        <w:tc>
          <w:tcPr>
            <w:tcW w:w="9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Fees</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Shelf</w:t>
            </w:r>
          </w:p>
        </w:tc>
        <w:tc>
          <w:tcPr>
            <w:tcW w:w="0" w:type="dxa"/>
            <w:vAlign w:val="bottom"/>
          </w:tcPr>
          <w:p>
            <w:pPr>
              <w:spacing w:after="0"/>
              <w:rPr>
                <w:sz w:val="1"/>
                <w:szCs w:val="1"/>
                <w:color w:val="auto"/>
              </w:rPr>
            </w:pPr>
          </w:p>
        </w:tc>
      </w:tr>
      <w:tr>
        <w:trPr>
          <w:trHeight w:val="93"/>
        </w:trPr>
        <w:tc>
          <w:tcPr>
            <w:tcW w:w="94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9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Previously</w:t>
            </w: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Paid</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Carry</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48"/>
        </w:trPr>
        <w:tc>
          <w:tcPr>
            <w:tcW w:w="9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Forward</w:t>
            </w: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Securities</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Carry</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49"/>
        </w:trPr>
        <w:tc>
          <w:tcPr>
            <w:tcW w:w="9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Forward</w:t>
            </w: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Securities</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Carry</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Debt</w:t>
            </w:r>
          </w:p>
        </w:tc>
        <w:tc>
          <w:tcPr>
            <w:tcW w:w="0" w:type="dxa"/>
            <w:vAlign w:val="bottom"/>
          </w:tcPr>
          <w:p>
            <w:pPr>
              <w:spacing w:after="0"/>
              <w:rPr>
                <w:sz w:val="1"/>
                <w:szCs w:val="1"/>
                <w:color w:val="auto"/>
              </w:rPr>
            </w:pPr>
          </w:p>
        </w:tc>
      </w:tr>
      <w:tr>
        <w:trPr>
          <w:trHeight w:val="148"/>
        </w:trPr>
        <w:tc>
          <w:tcPr>
            <w:tcW w:w="9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Forward</w:t>
            </w: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Securities</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Other</w:t>
            </w:r>
          </w:p>
        </w:tc>
        <w:tc>
          <w:tcPr>
            <w:tcW w:w="0" w:type="dxa"/>
            <w:vAlign w:val="bottom"/>
          </w:tcPr>
          <w:p>
            <w:pPr>
              <w:spacing w:after="0"/>
              <w:rPr>
                <w:sz w:val="1"/>
                <w:szCs w:val="1"/>
                <w:color w:val="auto"/>
              </w:rPr>
            </w:pPr>
          </w:p>
        </w:tc>
      </w:tr>
      <w:tr>
        <w:trPr>
          <w:trHeight w:val="148"/>
        </w:trPr>
        <w:tc>
          <w:tcPr>
            <w:tcW w:w="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Carry</w:t>
            </w: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Forward</w:t>
            </w: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Securities</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Other</w:t>
            </w:r>
          </w:p>
        </w:tc>
        <w:tc>
          <w:tcPr>
            <w:tcW w:w="0" w:type="dxa"/>
            <w:vAlign w:val="bottom"/>
          </w:tcPr>
          <w:p>
            <w:pPr>
              <w:spacing w:after="0"/>
              <w:rPr>
                <w:sz w:val="1"/>
                <w:szCs w:val="1"/>
                <w:color w:val="auto"/>
              </w:rPr>
            </w:pPr>
          </w:p>
        </w:tc>
      </w:tr>
      <w:tr>
        <w:trPr>
          <w:trHeight w:val="148"/>
        </w:trPr>
        <w:tc>
          <w:tcPr>
            <w:tcW w:w="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Carry</w:t>
            </w: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Forward</w:t>
            </w: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Securities</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Unallocated</w:t>
            </w:r>
          </w:p>
        </w:tc>
        <w:tc>
          <w:tcPr>
            <w:tcW w:w="0" w:type="dxa"/>
            <w:vAlign w:val="bottom"/>
          </w:tcPr>
          <w:p>
            <w:pPr>
              <w:spacing w:after="0"/>
              <w:rPr>
                <w:sz w:val="1"/>
                <w:szCs w:val="1"/>
                <w:color w:val="auto"/>
              </w:rPr>
            </w:pPr>
          </w:p>
        </w:tc>
      </w:tr>
      <w:tr>
        <w:trPr>
          <w:trHeight w:val="148"/>
        </w:trPr>
        <w:tc>
          <w:tcPr>
            <w:tcW w:w="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Carry</w:t>
            </w: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Forward</w:t>
            </w: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(Universal)</w:t>
            </w:r>
          </w:p>
        </w:tc>
        <w:tc>
          <w:tcPr>
            <w:tcW w:w="0" w:type="dxa"/>
            <w:vAlign w:val="bottom"/>
          </w:tcPr>
          <w:p>
            <w:pPr>
              <w:spacing w:after="0"/>
              <w:rPr>
                <w:sz w:val="1"/>
                <w:szCs w:val="1"/>
                <w:color w:val="auto"/>
              </w:rPr>
            </w:pPr>
          </w:p>
        </w:tc>
      </w:tr>
      <w:tr>
        <w:trPr>
          <w:trHeight w:val="327"/>
        </w:trPr>
        <w:tc>
          <w:tcPr>
            <w:tcW w:w="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Securities</w:t>
            </w:r>
            <w:r>
              <w:rPr>
                <w:rFonts w:ascii="Times New Roman" w:cs="Times New Roman" w:eastAsia="Times New Roman" w:hAnsi="Times New Roman"/>
                <w:sz w:val="23"/>
                <w:szCs w:val="23"/>
                <w:color w:val="auto"/>
                <w:vertAlign w:val="superscript"/>
              </w:rPr>
              <w:t>2</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Shelf</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Fee</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Previously</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Paid in</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Connection</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Fee</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Proposed</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Carry</w:t>
            </w: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with</w:t>
            </w: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Carry</w:t>
            </w:r>
          </w:p>
        </w:tc>
        <w:tc>
          <w:tcPr>
            <w:tcW w:w="7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Carry</w:t>
            </w:r>
          </w:p>
        </w:tc>
        <w:tc>
          <w:tcPr>
            <w:tcW w:w="840" w:type="dxa"/>
            <w:vAlign w:val="bottom"/>
            <w:gridSpan w:val="2"/>
            <w:vMerge w:val="continue"/>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Unsold</w:t>
            </w:r>
          </w:p>
        </w:tc>
        <w:tc>
          <w:tcPr>
            <w:tcW w:w="0" w:type="dxa"/>
            <w:vAlign w:val="bottom"/>
          </w:tcPr>
          <w:p>
            <w:pPr>
              <w:spacing w:after="0"/>
              <w:rPr>
                <w:sz w:val="1"/>
                <w:szCs w:val="1"/>
                <w:color w:val="auto"/>
              </w:rPr>
            </w:pPr>
          </w:p>
        </w:tc>
      </w:tr>
      <w:tr>
        <w:trPr>
          <w:trHeight w:val="148"/>
        </w:trPr>
        <w:tc>
          <w:tcPr>
            <w:tcW w:w="9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8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Calculation</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940" w:type="dxa"/>
            <w:vAlign w:val="bottom"/>
            <w:gridSpan w:val="2"/>
            <w:vMerge w:val="continue"/>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74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Forward</w:t>
            </w: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8"/>
        </w:trPr>
        <w:tc>
          <w:tcPr>
            <w:tcW w:w="980" w:type="dxa"/>
            <w:vAlign w:val="bottom"/>
            <w:gridSpan w:val="2"/>
            <w:vMerge w:val="continue"/>
          </w:tcPr>
          <w:p>
            <w:pPr>
              <w:spacing w:after="0"/>
              <w:rPr>
                <w:sz w:val="12"/>
                <w:szCs w:val="12"/>
                <w:color w:val="auto"/>
              </w:rPr>
            </w:pPr>
          </w:p>
        </w:tc>
        <w:tc>
          <w:tcPr>
            <w:tcW w:w="8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or Carry</w:t>
            </w:r>
          </w:p>
        </w:tc>
        <w:tc>
          <w:tcPr>
            <w:tcW w:w="8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4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9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7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Forward</w:t>
            </w:r>
          </w:p>
        </w:tc>
        <w:tc>
          <w:tcPr>
            <w:tcW w:w="7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Forward</w:t>
            </w:r>
          </w:p>
        </w:tc>
        <w:tc>
          <w:tcPr>
            <w:tcW w:w="8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Initial</w:t>
            </w: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be</w:t>
            </w:r>
          </w:p>
        </w:tc>
        <w:tc>
          <w:tcPr>
            <w:tcW w:w="0" w:type="dxa"/>
            <w:vAlign w:val="bottom"/>
          </w:tcPr>
          <w:p>
            <w:pPr>
              <w:spacing w:after="0"/>
              <w:rPr>
                <w:sz w:val="1"/>
                <w:szCs w:val="1"/>
                <w:color w:val="auto"/>
              </w:rPr>
            </w:pPr>
          </w:p>
        </w:tc>
      </w:tr>
      <w:tr>
        <w:trPr>
          <w:trHeight w:val="148"/>
        </w:trPr>
        <w:tc>
          <w:tcPr>
            <w:tcW w:w="9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Class</w:t>
            </w:r>
          </w:p>
        </w:tc>
        <w:tc>
          <w:tcPr>
            <w:tcW w:w="8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Forward</w:t>
            </w:r>
          </w:p>
        </w:tc>
        <w:tc>
          <w:tcPr>
            <w:tcW w:w="840" w:type="dxa"/>
            <w:vAlign w:val="bottom"/>
            <w:gridSpan w:val="2"/>
            <w:vMerge w:val="continue"/>
          </w:tcPr>
          <w:p>
            <w:pPr>
              <w:spacing w:after="0"/>
              <w:rPr>
                <w:sz w:val="12"/>
                <w:szCs w:val="12"/>
                <w:color w:val="auto"/>
              </w:rPr>
            </w:pPr>
          </w:p>
        </w:tc>
        <w:tc>
          <w:tcPr>
            <w:tcW w:w="94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9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100" w:type="dxa"/>
            <w:vAlign w:val="bottom"/>
            <w:vMerge w:val="restart"/>
          </w:tcPr>
          <w:p>
            <w:pPr>
              <w:spacing w:after="0"/>
              <w:rPr>
                <w:sz w:val="12"/>
                <w:szCs w:val="12"/>
                <w:color w:val="auto"/>
              </w:rPr>
            </w:pPr>
          </w:p>
        </w:tc>
        <w:tc>
          <w:tcPr>
            <w:tcW w:w="1040" w:type="dxa"/>
            <w:vAlign w:val="bottom"/>
            <w:gridSpan w:val="4"/>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7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Form</w:t>
            </w:r>
          </w:p>
        </w:tc>
        <w:tc>
          <w:tcPr>
            <w:tcW w:w="7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File</w:t>
            </w:r>
          </w:p>
        </w:tc>
        <w:tc>
          <w:tcPr>
            <w:tcW w:w="8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Effective</w:t>
            </w: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Carried</w:t>
            </w:r>
          </w:p>
        </w:tc>
        <w:tc>
          <w:tcPr>
            <w:tcW w:w="0" w:type="dxa"/>
            <w:vAlign w:val="bottom"/>
          </w:tcPr>
          <w:p>
            <w:pPr>
              <w:spacing w:after="0"/>
              <w:rPr>
                <w:sz w:val="1"/>
                <w:szCs w:val="1"/>
                <w:color w:val="auto"/>
              </w:rPr>
            </w:pPr>
          </w:p>
        </w:tc>
      </w:tr>
      <w:tr>
        <w:trPr>
          <w:trHeight w:val="173"/>
        </w:trPr>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8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Rule</w:t>
            </w:r>
          </w:p>
        </w:tc>
        <w:tc>
          <w:tcPr>
            <w:tcW w:w="10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18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80" w:type="dxa"/>
            <w:vAlign w:val="bottom"/>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Fee</w:t>
            </w:r>
          </w:p>
        </w:tc>
        <w:tc>
          <w:tcPr>
            <w:tcW w:w="200" w:type="dxa"/>
            <w:vAlign w:val="bottom"/>
          </w:tcPr>
          <w:p>
            <w:pPr>
              <w:spacing w:after="0"/>
              <w:rPr>
                <w:sz w:val="15"/>
                <w:szCs w:val="15"/>
                <w:color w:val="auto"/>
              </w:rPr>
            </w:pPr>
          </w:p>
        </w:tc>
        <w:tc>
          <w:tcPr>
            <w:tcW w:w="5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Type</w:t>
            </w:r>
          </w:p>
        </w:tc>
        <w:tc>
          <w:tcPr>
            <w:tcW w:w="200" w:type="dxa"/>
            <w:vAlign w:val="bottom"/>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8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Forward</w:t>
            </w:r>
          </w:p>
        </w:tc>
        <w:tc>
          <w:tcPr>
            <w:tcW w:w="0" w:type="dxa"/>
            <w:vAlign w:val="bottom"/>
          </w:tcPr>
          <w:p>
            <w:pPr>
              <w:spacing w:after="0"/>
              <w:rPr>
                <w:sz w:val="1"/>
                <w:szCs w:val="1"/>
                <w:color w:val="auto"/>
              </w:rPr>
            </w:pPr>
          </w:p>
        </w:tc>
      </w:tr>
      <w:tr>
        <w:trPr>
          <w:trHeight w:val="184"/>
        </w:trPr>
        <w:tc>
          <w:tcPr>
            <w:tcW w:w="9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Common</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Newly Registered Securities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1"/>
        </w:trPr>
        <w:tc>
          <w:tcPr>
            <w:tcW w:w="980" w:type="dxa"/>
            <w:vAlign w:val="bottom"/>
            <w:gridSpan w:val="2"/>
            <w:vMerge w:val="continue"/>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9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Stock, par</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value $0.001</w:t>
            </w:r>
          </w:p>
        </w:tc>
        <w:tc>
          <w:tcPr>
            <w:tcW w:w="8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457(o)</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FFFFFF"/>
              </w:rPr>
              <w:t>-</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per share</w:t>
            </w:r>
          </w:p>
        </w:tc>
        <w:tc>
          <w:tcPr>
            <w:tcW w:w="82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Preferred</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Stock, par</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value $0.001</w:t>
            </w:r>
          </w:p>
        </w:tc>
        <w:tc>
          <w:tcPr>
            <w:tcW w:w="8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457(o)</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CCEEFF"/>
              </w:rPr>
              <w:t>-</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980" w:type="dxa"/>
            <w:vAlign w:val="bottom"/>
            <w:gridSpan w:val="2"/>
          </w:tcPr>
          <w:p>
            <w:pPr>
              <w:jc w:val="center"/>
              <w:ind w:right="60"/>
              <w:spacing w:after="0" w:line="153" w:lineRule="exact"/>
              <w:rPr>
                <w:sz w:val="20"/>
                <w:szCs w:val="20"/>
                <w:color w:val="auto"/>
              </w:rPr>
            </w:pPr>
            <w:r>
              <w:rPr>
                <w:rFonts w:ascii="Times New Roman" w:cs="Times New Roman" w:eastAsia="Times New Roman" w:hAnsi="Times New Roman"/>
                <w:sz w:val="14"/>
                <w:szCs w:val="14"/>
                <w:color w:val="auto"/>
              </w:rPr>
              <w:t>per share</w:t>
            </w:r>
          </w:p>
        </w:tc>
        <w:tc>
          <w:tcPr>
            <w:tcW w:w="82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9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Debt Securities</w:t>
            </w: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457(o)</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FFFFFF"/>
              </w:rPr>
              <w:t>-</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Warrants</w:t>
            </w: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457(o)</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CCEEFF"/>
              </w:rPr>
              <w:t>-</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9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Units</w:t>
            </w: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457(o)</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FFFFFF"/>
              </w:rPr>
              <w:t>-</w:t>
            </w: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6"/>
        </w:trPr>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457(o)</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22,179,533</w:t>
            </w: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0.0001381</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3,062.99</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9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Common</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00" w:type="dxa"/>
            <w:vAlign w:val="bottom"/>
            <w:gridSpan w:val="7"/>
          </w:tcPr>
          <w:p>
            <w:pPr>
              <w:ind w:left="560"/>
              <w:spacing w:after="0"/>
              <w:rPr>
                <w:sz w:val="20"/>
                <w:szCs w:val="20"/>
                <w:color w:val="auto"/>
              </w:rPr>
            </w:pPr>
            <w:r>
              <w:rPr>
                <w:rFonts w:ascii="Times New Roman" w:cs="Times New Roman" w:eastAsia="Times New Roman" w:hAnsi="Times New Roman"/>
                <w:sz w:val="14"/>
                <w:szCs w:val="14"/>
                <w:b w:val="1"/>
                <w:bCs w:val="1"/>
                <w:color w:val="auto"/>
              </w:rPr>
              <w:t>Carry Forward Securities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980" w:type="dxa"/>
            <w:vAlign w:val="bottom"/>
            <w:gridSpan w:val="2"/>
            <w:vMerge w:val="continue"/>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9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Stock, par</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333-</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value $0.001</w:t>
            </w:r>
          </w:p>
        </w:tc>
        <w:tc>
          <w:tcPr>
            <w:tcW w:w="8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415(a)(6)</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S-3</w:t>
            </w:r>
          </w:p>
        </w:tc>
        <w:tc>
          <w:tcPr>
            <w:tcW w:w="740" w:type="dxa"/>
            <w:vAlign w:val="bottom"/>
            <w:gridSpan w:val="2"/>
            <w:vMerge w:val="continue"/>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05/11/2023</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per share</w:t>
            </w:r>
          </w:p>
        </w:tc>
        <w:tc>
          <w:tcPr>
            <w:tcW w:w="82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270263</w:t>
            </w: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Preferred</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Stock, par</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333-</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value $0.001</w:t>
            </w:r>
          </w:p>
        </w:tc>
        <w:tc>
          <w:tcPr>
            <w:tcW w:w="8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415(a)(6)</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S-3</w:t>
            </w:r>
          </w:p>
        </w:tc>
        <w:tc>
          <w:tcPr>
            <w:tcW w:w="740" w:type="dxa"/>
            <w:vAlign w:val="bottom"/>
            <w:gridSpan w:val="2"/>
            <w:vMerge w:val="continue"/>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05/11/2023</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9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per share</w:t>
            </w:r>
          </w:p>
        </w:tc>
        <w:tc>
          <w:tcPr>
            <w:tcW w:w="8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270263</w:t>
            </w:r>
          </w:p>
        </w:tc>
        <w:tc>
          <w:tcPr>
            <w:tcW w:w="6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9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color w:val="auto"/>
              </w:rPr>
              <w:t>Debt Securities</w:t>
            </w:r>
          </w:p>
        </w:tc>
        <w:tc>
          <w:tcPr>
            <w:tcW w:w="8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415(a)(6)</w:t>
            </w: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S-3</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333-</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05/11/2023</w:t>
            </w: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98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270263</w:t>
            </w:r>
          </w:p>
        </w:tc>
        <w:tc>
          <w:tcPr>
            <w:tcW w:w="6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9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color w:val="auto"/>
              </w:rPr>
              <w:t>Warrants</w:t>
            </w:r>
          </w:p>
        </w:tc>
        <w:tc>
          <w:tcPr>
            <w:tcW w:w="8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415(a)(6)</w:t>
            </w: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S-3</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333-</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05/11/2023</w:t>
            </w: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98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270263</w:t>
            </w:r>
          </w:p>
        </w:tc>
        <w:tc>
          <w:tcPr>
            <w:tcW w:w="6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9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color w:val="auto"/>
              </w:rPr>
              <w:t>Units</w:t>
            </w:r>
          </w:p>
        </w:tc>
        <w:tc>
          <w:tcPr>
            <w:tcW w:w="8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415(a)(6)</w:t>
            </w: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S-3</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333-</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05/11/2023</w:t>
            </w: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98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270263</w:t>
            </w:r>
          </w:p>
        </w:tc>
        <w:tc>
          <w:tcPr>
            <w:tcW w:w="6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8"/>
        </w:trPr>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415(a)(6)</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gridSpan w:val="5"/>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$ 327,820,467</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S-3</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333-</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05/11/2023</w:t>
            </w:r>
          </w:p>
        </w:tc>
        <w:tc>
          <w:tcPr>
            <w:tcW w:w="180" w:type="dxa"/>
            <w:vAlign w:val="bottom"/>
          </w:tcPr>
          <w:p>
            <w:pPr>
              <w:spacing w:after="0"/>
              <w:rPr>
                <w:sz w:val="24"/>
                <w:szCs w:val="24"/>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$ 36,125.82</w:t>
            </w:r>
          </w:p>
        </w:tc>
        <w:tc>
          <w:tcPr>
            <w:tcW w:w="0" w:type="dxa"/>
            <w:vAlign w:val="bottom"/>
          </w:tcPr>
          <w:p>
            <w:pPr>
              <w:spacing w:after="0"/>
              <w:rPr>
                <w:sz w:val="1"/>
                <w:szCs w:val="1"/>
                <w:color w:val="auto"/>
              </w:rPr>
            </w:pPr>
          </w:p>
        </w:tc>
      </w:tr>
      <w:tr>
        <w:trPr>
          <w:trHeight w:val="146"/>
        </w:trPr>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80" w:type="dxa"/>
            <w:vAlign w:val="bottom"/>
            <w:gridSpan w:val="5"/>
            <w:vMerge w:val="continue"/>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3,062.99</w:t>
            </w:r>
          </w:p>
        </w:tc>
        <w:tc>
          <w:tcPr>
            <w:tcW w:w="740" w:type="dxa"/>
            <w:vAlign w:val="bottom"/>
            <w:gridSpan w:val="2"/>
            <w:vMerge w:val="continue"/>
          </w:tcPr>
          <w:p>
            <w:pPr>
              <w:spacing w:after="0"/>
              <w:rPr>
                <w:sz w:val="12"/>
                <w:szCs w:val="12"/>
                <w:color w:val="auto"/>
              </w:rPr>
            </w:pPr>
          </w:p>
        </w:tc>
        <w:tc>
          <w:tcPr>
            <w:tcW w:w="740" w:type="dxa"/>
            <w:vAlign w:val="bottom"/>
            <w:gridSpan w:val="2"/>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270263</w:t>
            </w: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0" w:type="dxa"/>
            <w:vAlign w:val="bottom"/>
            <w:gridSpan w:val="4"/>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Total Offering Amounts:</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80" w:type="dxa"/>
            <w:vAlign w:val="bottom"/>
            <w:gridSpan w:val="5"/>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$ 350,000,000</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00" w:type="dxa"/>
            <w:vAlign w:val="bottom"/>
            <w:gridSpan w:val="4"/>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Total Fees Previously Paid:</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0.00</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00" w:type="dxa"/>
            <w:vAlign w:val="bottom"/>
            <w:gridSpan w:val="4"/>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Total Fee Offsets:</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80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Net Fee Due:</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3,062.99</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-1086485</wp:posOffset>
            </wp:positionH>
            <wp:positionV relativeFrom="paragraph">
              <wp:posOffset>-4218940</wp:posOffset>
            </wp:positionV>
            <wp:extent cx="7132320" cy="946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2">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-1086485</wp:posOffset>
            </wp:positionH>
            <wp:positionV relativeFrom="paragraph">
              <wp:posOffset>-3747770</wp:posOffset>
            </wp:positionV>
            <wp:extent cx="7132320" cy="3771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3">
                      <a:extLst>
                        <a:ext uri="{28A0092B-C50C-407E-A947-70E740481C1C}"/>
                      </a:extLst>
                    </a:blip>
                    <a:srcRect/>
                    <a:stretch>
                      <a:fillRect/>
                    </a:stretch>
                  </pic:blipFill>
                  <pic:spPr bwMode="auto">
                    <a:xfrm>
                      <a:off x="0" y="0"/>
                      <a:ext cx="7132320" cy="377190"/>
                    </a:xfrm>
                    <a:prstGeom prst="rect">
                      <a:avLst/>
                    </a:prstGeom>
                    <a:noFill/>
                  </pic:spPr>
                </pic:pic>
              </a:graphicData>
            </a:graphic>
          </wp:anchor>
        </w:drawing>
        <w:drawing>
          <wp:anchor simplePos="0" relativeHeight="251657728" behindDoc="1" locked="0" layoutInCell="0" allowOverlap="1">
            <wp:simplePos x="0" y="0"/>
            <wp:positionH relativeFrom="column">
              <wp:posOffset>-1086485</wp:posOffset>
            </wp:positionH>
            <wp:positionV relativeFrom="paragraph">
              <wp:posOffset>-3233420</wp:posOffset>
            </wp:positionV>
            <wp:extent cx="7132320" cy="1371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-1086485</wp:posOffset>
            </wp:positionH>
            <wp:positionV relativeFrom="paragraph">
              <wp:posOffset>-2959100</wp:posOffset>
            </wp:positionV>
            <wp:extent cx="7132320" cy="28257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5">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-1086485</wp:posOffset>
            </wp:positionH>
            <wp:positionV relativeFrom="paragraph">
              <wp:posOffset>-2393315</wp:posOffset>
            </wp:positionV>
            <wp:extent cx="7132320" cy="9398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6">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-1086485</wp:posOffset>
            </wp:positionH>
            <wp:positionV relativeFrom="paragraph">
              <wp:posOffset>-1922145</wp:posOffset>
            </wp:positionV>
            <wp:extent cx="7132320" cy="3771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7">
                      <a:extLst>
                        <a:ext uri="{28A0092B-C50C-407E-A947-70E740481C1C}"/>
                      </a:extLst>
                    </a:blip>
                    <a:srcRect/>
                    <a:stretch>
                      <a:fillRect/>
                    </a:stretch>
                  </pic:blipFill>
                  <pic:spPr bwMode="auto">
                    <a:xfrm>
                      <a:off x="0" y="0"/>
                      <a:ext cx="7132320" cy="377190"/>
                    </a:xfrm>
                    <a:prstGeom prst="rect">
                      <a:avLst/>
                    </a:prstGeom>
                    <a:noFill/>
                  </pic:spPr>
                </pic:pic>
              </a:graphicData>
            </a:graphic>
          </wp:anchor>
        </w:drawing>
        <w:drawing>
          <wp:anchor simplePos="0" relativeHeight="251657728" behindDoc="1" locked="0" layoutInCell="0" allowOverlap="1">
            <wp:simplePos x="0" y="0"/>
            <wp:positionH relativeFrom="column">
              <wp:posOffset>-1086485</wp:posOffset>
            </wp:positionH>
            <wp:positionV relativeFrom="paragraph">
              <wp:posOffset>-1261745</wp:posOffset>
            </wp:positionV>
            <wp:extent cx="7132320" cy="28257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8">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-1086485</wp:posOffset>
            </wp:positionH>
            <wp:positionV relativeFrom="paragraph">
              <wp:posOffset>-695960</wp:posOffset>
            </wp:positionV>
            <wp:extent cx="7132320" cy="3086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9">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-1086485</wp:posOffset>
            </wp:positionH>
            <wp:positionV relativeFrom="paragraph">
              <wp:posOffset>-293370</wp:posOffset>
            </wp:positionV>
            <wp:extent cx="7132320" cy="9398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0">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-1086485</wp:posOffset>
            </wp:positionH>
            <wp:positionV relativeFrom="paragraph">
              <wp:posOffset>-104140</wp:posOffset>
            </wp:positionV>
            <wp:extent cx="7132320" cy="9398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1">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-1086485</wp:posOffset>
            </wp:positionH>
            <wp:positionV relativeFrom="paragraph">
              <wp:posOffset>374650</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1640" w:space="80"/>
            <w:col w:w="9520"/>
          </w:cols>
          <w:pgMar w:left="320" w:top="333" w:right="339" w:bottom="1440" w:gutter="0" w:footer="0" w:header="0"/>
          <w:type w:val="continuous"/>
        </w:sectPr>
      </w:pPr>
    </w:p>
    <w:bookmarkStart w:id="147" w:name="page148"/>
    <w:bookmarkEnd w:id="147"/>
    <w:p>
      <w:pPr>
        <w:spacing w:after="0"/>
        <w:rPr>
          <w:sz w:val="20"/>
          <w:szCs w:val="20"/>
          <w:color w:val="auto"/>
        </w:rPr>
      </w:pPr>
      <w:r>
        <w:rPr>
          <w:rFonts w:ascii="Times New Roman" w:cs="Times New Roman" w:eastAsia="Times New Roman" w:hAnsi="Times New Roman"/>
          <w:sz w:val="22"/>
          <w:szCs w:val="22"/>
          <w:b w:val="1"/>
          <w:bCs w:val="1"/>
          <w:color w:val="auto"/>
        </w:rPr>
        <w:t>Offering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17830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53" w:lineRule="exact"/>
        <w:rPr>
          <w:sz w:val="20"/>
          <w:szCs w:val="20"/>
          <w:color w:val="auto"/>
        </w:rPr>
      </w:pPr>
    </w:p>
    <w:p>
      <w:pPr>
        <w:jc w:val="both"/>
        <w:ind w:left="340" w:hanging="332"/>
        <w:spacing w:after="0" w:line="251" w:lineRule="auto"/>
        <w:tabs>
          <w:tab w:leader="none" w:pos="3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There is being registered hereunder an unspecified number of shares of (a) common stock, (b) preferred stock, (c) debt securities, (d) warrants to purchase common stock, preferred stock or debt securities of the Registrant, and (e) units, consisting of some or all of these securities in any combination, as may be sold from time to time by the Registrant. Any securities registered hereunder may be sold separately or as units with other securities registered hereunder. There is also being registered hereunder an unspecified number of shares of common stock, preferred stock and debt securities as shall be issuable upon conversion, exchange or exercise of any securities that provide for such issuance. In no event will the aggregate offering price of all types of securities issued by the Registrant pursuant to this registration statement exceed $350,000,000. Pursuant to Rule 416(a) under the Securities Act of 1933, as amended (the “Securities Act”), this registration statement also covers any additional securities that may be offered or issued in connection with any stock split, stock dividend or similar transaction. The proposed maximum offering price per share and proposed maximum aggregate offering price for each type of security will be determined from time to time by the Registrant in connection with the issuance by the Registrant of the securities registered hereunder and is not specified as to each class of security pursuant to Instruction 2.A.iii(b) of Item 16(b) of Form S-3 under the Securities Act. The proposed maximum offering price per share and proposed maximum aggregate offering price for each type of security will be determined from time to time by the Registrant in connection with the issuance by the Registrant of the securities registered hereunder and is not specified as to each class of security pursuant to Instruction 2.A.iii(b) of Item 16(b) of Form S-3 under the Securities Act. (2) Pursuant to Rule 415(a)(6) under the Securities Act, the securities registered pursuant to this registration statement include $327,820,467 of unsold securities (the “Unsold Securities”) previously registered and offered pursuant to the Registration Statement on Form S-3 (File No. 333-270263), initially filed with the U.S. Securities and Exchange Commission on March 3, 2023 and declared effective on May 11, 2023 (the “Prior</w:t>
      </w:r>
    </w:p>
    <w:p>
      <w:pPr>
        <w:spacing w:after="0" w:line="11" w:lineRule="exact"/>
        <w:rPr>
          <w:sz w:val="20"/>
          <w:szCs w:val="20"/>
          <w:color w:val="auto"/>
        </w:rPr>
      </w:pPr>
    </w:p>
    <w:p>
      <w:pPr>
        <w:jc w:val="both"/>
        <w:ind w:left="340"/>
        <w:spacing w:after="0" w:line="250" w:lineRule="auto"/>
        <w:rPr>
          <w:sz w:val="20"/>
          <w:szCs w:val="20"/>
          <w:color w:val="auto"/>
        </w:rPr>
      </w:pPr>
      <w:r>
        <w:rPr>
          <w:rFonts w:ascii="Times New Roman" w:cs="Times New Roman" w:eastAsia="Times New Roman" w:hAnsi="Times New Roman"/>
          <w:sz w:val="18"/>
          <w:szCs w:val="18"/>
          <w:color w:val="auto"/>
        </w:rPr>
        <w:t>Registration Statement”). In connection with the filing of the Prior Registration Statement, the registrant paid a filing fee of $36,125.82 associated with the offering of the Unsold Securities (based on the filing fee rate in effect at the time of the filing of the Prior Registration Statement). The filing fee associated with the offering of the Unsold Securities is hereby carried forward to be applied to the Unsold Securities registered hereunder, and no additional filing fee is due with respect to the Unsold Securities in connection with the filing of this registration statement. Pursuant to Rule 415(a)(6), the offering of securities under the Prior Registration Statement will be deemed terminated as of the date of effectiveness of this registration statement.</w:t>
      </w:r>
    </w:p>
    <w:p>
      <w:pPr>
        <w:spacing w:after="0" w:line="2" w:lineRule="exact"/>
        <w:rPr>
          <w:sz w:val="20"/>
          <w:szCs w:val="20"/>
          <w:color w:val="auto"/>
        </w:rPr>
      </w:pPr>
    </w:p>
    <w:p>
      <w:pPr>
        <w:jc w:val="both"/>
        <w:ind w:left="340" w:hanging="332"/>
        <w:spacing w:after="0" w:line="250" w:lineRule="auto"/>
        <w:tabs>
          <w:tab w:leader="none" w:pos="3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There is being registered hereunder an unspecified number of shares of (a) common stock, (b) preferred stock, (c) debt securities, (d) warrants to purchase common stock, preferred stock or debt securities of the Registrant, and (e) units, consisting of some or all of these securities in any combination, as may be sold from time to time by the Registrant. Any securities registered hereunder may be sold separately or as units with other securities registered hereunder. There is also being registered hereunder an unspecified number of shares of common stock, preferred stock and debt securities as shall be issuable upon conversion, exchange or exercise of any securities that provide for such issuance. In no event will the aggregate offering price of all types of securities issued by the Registrant pursuant to this registration statement exceed $350,000,000. Pursuant to Rule 416(a) under the Securities Act of 1933, as amended (the “Securities Act”), this registration statement also covers any additional securities that may be offered or issued in connection with any stock split, stock dividend or similar transaction. The proposed maximum offering price per share and proposed maximum aggregate offering price for each type of security will be determined from time to time by the Registrant in connection with the issuance by the Registrant of the securities registered hereunder and is not specified as to each class of security pursuant to Instruction 2.A.iii(b) of Item 16(b) of Form S-3 under the Securities Act. The proposed maximum offering price per share and proposed maximum aggregate offering price for each type of security will be determined from time to time by the Registrant in connection with the issuance by the Registrant of the securities registered hereunder and is not specified as to each class of security pursuant to Instruction 2.A.iii(b) of Item 16(b) of Form S-3 under the Securities Act. (2) Pursuant to Rule 415(a)(6) under the Securities Act, the securities registered pursuant to this registration statement include $327,820,467 of unsold securities (the “Unsold Securities”) previously registered and offered pursuant to the Registration Statement on Form S-3 (File No. 333-270263), initially filed with the U.S. Securities and Exchange Commission on March 3, 2023 and declared effective on May 11, 2023 (the “Prior Registration Statement”). In connection with the filing of the Prior Registration Statement, the registrant paid a filing fee of $36,125.82 associated with the offering of the Unsold Securities (based on the filing fee rate in effect at the time of the filing of the Prior Registration Statement). The filing fee associated with the offering of the Unsold Securities is hereby carried forward to be applied to the Unsold Securities registered hereunder, and no additional filing fee is due with respect to the Unsold Securities in connection with the filing of this registration statement. Pursuant to Rule 415(a)(6), the offering of securities under the Prior Registration Statement will be deemed terminated as of the date of effectiveness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374015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8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381823A"/>
    <w:multiLevelType w:val="hybridMultilevel"/>
    <w:lvl w:ilvl="0">
      <w:lvlJc w:val="left"/>
      <w:lvlText w:val="●"/>
      <w:numFmt w:val="bullet"/>
      <w:start w:val="1"/>
    </w:lvl>
  </w:abstractNum>
  <w:abstractNum w:abstractNumId="1">
    <w:nsid w:val="5DB70AE5"/>
    <w:multiLevelType w:val="hybridMultilevel"/>
    <w:lvl w:ilvl="0">
      <w:lvlJc w:val="left"/>
      <w:lvlText w:val="●"/>
      <w:numFmt w:val="bullet"/>
      <w:start w:val="1"/>
    </w:lvl>
  </w:abstractNum>
  <w:abstractNum w:abstractNumId="2">
    <w:nsid w:val="100F8FCA"/>
    <w:multiLevelType w:val="hybridMultilevel"/>
    <w:lvl w:ilvl="0">
      <w:lvlJc w:val="left"/>
      <w:lvlText w:val="●"/>
      <w:numFmt w:val="bullet"/>
      <w:start w:val="1"/>
    </w:lvl>
  </w:abstractNum>
  <w:abstractNum w:abstractNumId="3">
    <w:nsid w:val="6590700B"/>
    <w:multiLevelType w:val="hybridMultilevel"/>
    <w:lvl w:ilvl="0">
      <w:lvlJc w:val="left"/>
      <w:lvlText w:val="%1"/>
      <w:numFmt w:val="upperLetter"/>
      <w:start w:val="27"/>
    </w:lvl>
  </w:abstractNum>
  <w:abstractNum w:abstractNumId="4">
    <w:nsid w:val="15014ACB"/>
    <w:multiLevelType w:val="hybridMultilevel"/>
    <w:lvl w:ilvl="0">
      <w:lvlJc w:val="left"/>
      <w:lvlText w:val="%1"/>
      <w:numFmt w:val="upperLetter"/>
      <w:start w:val="27"/>
    </w:lvl>
  </w:abstractNum>
  <w:abstractNum w:abstractNumId="5">
    <w:nsid w:val="5F5E7FD0"/>
    <w:multiLevelType w:val="hybridMultilevel"/>
    <w:lvl w:ilvl="0">
      <w:lvlJc w:val="left"/>
      <w:lvlText w:val="●"/>
      <w:numFmt w:val="bullet"/>
      <w:start w:val="1"/>
    </w:lvl>
  </w:abstractNum>
  <w:abstractNum w:abstractNumId="6">
    <w:nsid w:val="98A3148"/>
    <w:multiLevelType w:val="hybridMultilevel"/>
    <w:lvl w:ilvl="0">
      <w:lvlJc w:val="left"/>
      <w:lvlText w:val="●"/>
      <w:numFmt w:val="bullet"/>
      <w:start w:val="1"/>
    </w:lvl>
  </w:abstractNum>
  <w:abstractNum w:abstractNumId="7">
    <w:nsid w:val="799D0247"/>
    <w:multiLevelType w:val="hybridMultilevel"/>
    <w:lvl w:ilvl="0">
      <w:lvlJc w:val="left"/>
      <w:lvlText w:val="●"/>
      <w:numFmt w:val="bullet"/>
      <w:start w:val="1"/>
    </w:lvl>
  </w:abstractNum>
  <w:abstractNum w:abstractNumId="8">
    <w:nsid w:val="6B94764"/>
    <w:multiLevelType w:val="hybridMultilevel"/>
    <w:lvl w:ilvl="0">
      <w:lvlJc w:val="left"/>
      <w:lvlText w:val="●"/>
      <w:numFmt w:val="bullet"/>
      <w:start w:val="1"/>
    </w:lvl>
  </w:abstractNum>
  <w:abstractNum w:abstractNumId="9">
    <w:nsid w:val="42C296BD"/>
    <w:multiLevelType w:val="hybridMultilevel"/>
    <w:lvl w:ilvl="0">
      <w:lvlJc w:val="left"/>
      <w:lvlText w:val="●"/>
      <w:numFmt w:val="bullet"/>
      <w:start w:val="1"/>
    </w:lvl>
  </w:abstractNum>
  <w:abstractNum w:abstractNumId="10">
    <w:nsid w:val="168E121F"/>
    <w:multiLevelType w:val="hybridMultilevel"/>
    <w:lvl w:ilvl="0">
      <w:lvlJc w:val="left"/>
      <w:lvlText w:val="●"/>
      <w:numFmt w:val="bullet"/>
      <w:start w:val="1"/>
    </w:lvl>
  </w:abstractNum>
  <w:abstractNum w:abstractNumId="11">
    <w:nsid w:val="1EBA5D23"/>
    <w:multiLevelType w:val="hybridMultilevel"/>
    <w:lvl w:ilvl="0">
      <w:lvlJc w:val="left"/>
      <w:lvlText w:val="●"/>
      <w:numFmt w:val="bullet"/>
      <w:start w:val="1"/>
    </w:lvl>
  </w:abstractNum>
  <w:abstractNum w:abstractNumId="12">
    <w:nsid w:val="661E3F1E"/>
    <w:multiLevelType w:val="hybridMultilevel"/>
    <w:lvl w:ilvl="0">
      <w:lvlJc w:val="left"/>
      <w:lvlText w:val="●"/>
      <w:numFmt w:val="bullet"/>
      <w:start w:val="1"/>
    </w:lvl>
  </w:abstractNum>
  <w:abstractNum w:abstractNumId="13">
    <w:nsid w:val="5DC79EA8"/>
    <w:multiLevelType w:val="hybridMultilevel"/>
    <w:lvl w:ilvl="0">
      <w:lvlJc w:val="left"/>
      <w:lvlText w:val="●"/>
      <w:numFmt w:val="bullet"/>
      <w:start w:val="1"/>
    </w:lvl>
  </w:abstractNum>
  <w:abstractNum w:abstractNumId="14">
    <w:nsid w:val="540A471C"/>
    <w:multiLevelType w:val="hybridMultilevel"/>
    <w:lvl w:ilvl="0">
      <w:lvlJc w:val="left"/>
      <w:lvlText w:val="●"/>
      <w:numFmt w:val="bullet"/>
      <w:start w:val="1"/>
    </w:lvl>
  </w:abstractNum>
  <w:abstractNum w:abstractNumId="15">
    <w:nsid w:val="7BD3EE7B"/>
    <w:multiLevelType w:val="hybridMultilevel"/>
    <w:lvl w:ilvl="0">
      <w:lvlJc w:val="left"/>
      <w:lvlText w:val="●"/>
      <w:numFmt w:val="bullet"/>
      <w:start w:val="1"/>
    </w:lvl>
  </w:abstractNum>
  <w:abstractNum w:abstractNumId="16">
    <w:nsid w:val="51D9C564"/>
    <w:multiLevelType w:val="hybridMultilevel"/>
    <w:lvl w:ilvl="0">
      <w:lvlJc w:val="left"/>
      <w:lvlText w:val="●"/>
      <w:numFmt w:val="bullet"/>
      <w:start w:val="1"/>
    </w:lvl>
  </w:abstractNum>
  <w:abstractNum w:abstractNumId="17">
    <w:nsid w:val="613EFDC5"/>
    <w:multiLevelType w:val="hybridMultilevel"/>
    <w:lvl w:ilvl="0">
      <w:lvlJc w:val="left"/>
      <w:lvlText w:val="●"/>
      <w:numFmt w:val="bullet"/>
      <w:start w:val="1"/>
    </w:lvl>
  </w:abstractNum>
  <w:abstractNum w:abstractNumId="18">
    <w:nsid w:val="BF72B14"/>
    <w:multiLevelType w:val="hybridMultilevel"/>
    <w:lvl w:ilvl="0">
      <w:lvlJc w:val="left"/>
      <w:lvlText w:val="●"/>
      <w:numFmt w:val="bullet"/>
      <w:start w:val="1"/>
    </w:lvl>
  </w:abstractNum>
  <w:abstractNum w:abstractNumId="19">
    <w:nsid w:val="11447B73"/>
    <w:multiLevelType w:val="hybridMultilevel"/>
    <w:lvl w:ilvl="0">
      <w:lvlJc w:val="left"/>
      <w:lvlText w:val="●"/>
      <w:numFmt w:val="bullet"/>
      <w:start w:val="1"/>
    </w:lvl>
  </w:abstractNum>
  <w:abstractNum w:abstractNumId="20">
    <w:nsid w:val="42963E5A"/>
    <w:multiLevelType w:val="hybridMultilevel"/>
    <w:lvl w:ilvl="0">
      <w:lvlJc w:val="left"/>
      <w:lvlText w:val="●"/>
      <w:numFmt w:val="bullet"/>
      <w:start w:val="1"/>
    </w:lvl>
  </w:abstractNum>
  <w:abstractNum w:abstractNumId="21">
    <w:nsid w:val="A0382C5"/>
    <w:multiLevelType w:val="hybridMultilevel"/>
    <w:lvl w:ilvl="0">
      <w:lvlJc w:val="left"/>
      <w:lvlText w:val="●"/>
      <w:numFmt w:val="bullet"/>
      <w:start w:val="1"/>
    </w:lvl>
  </w:abstractNum>
  <w:abstractNum w:abstractNumId="22">
    <w:nsid w:val="8F2B15E"/>
    <w:multiLevelType w:val="hybridMultilevel"/>
    <w:lvl w:ilvl="0">
      <w:lvlJc w:val="left"/>
      <w:lvlText w:val="●"/>
      <w:numFmt w:val="bullet"/>
      <w:start w:val="1"/>
    </w:lvl>
  </w:abstractNum>
  <w:abstractNum w:abstractNumId="23">
    <w:nsid w:val="1A32234B"/>
    <w:multiLevelType w:val="hybridMultilevel"/>
    <w:lvl w:ilvl="0">
      <w:lvlJc w:val="left"/>
      <w:lvlText w:val="●"/>
      <w:numFmt w:val="bullet"/>
      <w:start w:val="1"/>
    </w:lvl>
  </w:abstractNum>
  <w:abstractNum w:abstractNumId="24">
    <w:nsid w:val="3B0FD379"/>
    <w:multiLevelType w:val="hybridMultilevel"/>
    <w:lvl w:ilvl="0">
      <w:lvlJc w:val="left"/>
      <w:lvlText w:val="*"/>
      <w:numFmt w:val="bullet"/>
      <w:start w:val="1"/>
    </w:lvl>
  </w:abstractNum>
  <w:abstractNum w:abstractNumId="25">
    <w:nsid w:val="68EB2F63"/>
    <w:multiLevelType w:val="hybridMultilevel"/>
    <w:lvl w:ilvl="0">
      <w:lvlJc w:val="left"/>
      <w:lvlText w:val="●"/>
      <w:numFmt w:val="bullet"/>
      <w:start w:val="1"/>
    </w:lvl>
  </w:abstractNum>
  <w:abstractNum w:abstractNumId="26">
    <w:nsid w:val="4962813B"/>
    <w:multiLevelType w:val="hybridMultilevel"/>
    <w:lvl w:ilvl="0">
      <w:lvlJc w:val="left"/>
      <w:lvlText w:val="●"/>
      <w:numFmt w:val="bullet"/>
      <w:start w:val="1"/>
    </w:lvl>
  </w:abstractNum>
  <w:abstractNum w:abstractNumId="27">
    <w:nsid w:val="60B6DF70"/>
    <w:multiLevelType w:val="hybridMultilevel"/>
    <w:lvl w:ilvl="0">
      <w:lvlJc w:val="left"/>
      <w:lvlText w:val="●"/>
      <w:numFmt w:val="bullet"/>
      <w:start w:val="1"/>
    </w:lvl>
  </w:abstractNum>
  <w:abstractNum w:abstractNumId="28">
    <w:nsid w:val="6A5EE64"/>
    <w:multiLevelType w:val="hybridMultilevel"/>
    <w:lvl w:ilvl="0">
      <w:lvlJc w:val="left"/>
      <w:lvlText w:val="*"/>
      <w:numFmt w:val="bullet"/>
      <w:start w:val="1"/>
    </w:lvl>
  </w:abstractNum>
  <w:abstractNum w:abstractNumId="29">
    <w:nsid w:val="14330624"/>
    <w:multiLevelType w:val="hybridMultilevel"/>
    <w:lvl w:ilvl="0">
      <w:lvlJc w:val="left"/>
      <w:lvlText w:val="**"/>
      <w:numFmt w:val="bullet"/>
      <w:start w:val="1"/>
    </w:lvl>
  </w:abstractNum>
  <w:abstractNum w:abstractNumId="30">
    <w:nsid w:val="7FFFCA11"/>
    <w:multiLevelType w:val="hybridMultilevel"/>
    <w:lvl w:ilvl="0">
      <w:lvlJc w:val="left"/>
      <w:lvlText w:val="(%1)"/>
      <w:numFmt w:val="decimal"/>
      <w:start w:val="1"/>
    </w:lvl>
    <w:lvl w:ilvl="1">
      <w:lvlJc w:val="left"/>
      <w:lvlText w:val="(%2)"/>
      <w:numFmt w:val="lowerRoman"/>
      <w:start w:val="1"/>
    </w:lvl>
  </w:abstractNum>
  <w:abstractNum w:abstractNumId="31">
    <w:nsid w:val="1A27709E"/>
    <w:multiLevelType w:val="hybridMultilevel"/>
    <w:lvl w:ilvl="0">
      <w:lvlJc w:val="left"/>
      <w:lvlText w:val="(%1)"/>
      <w:numFmt w:val="decimal"/>
      <w:start w:val="2"/>
    </w:lvl>
    <w:lvl w:ilvl="1">
      <w:lvlJc w:val="left"/>
      <w:lvlText w:val="(%2)"/>
      <w:numFmt w:val="lowerRoman"/>
      <w:start w:val="1"/>
    </w:lvl>
    <w:lvl w:ilvl="2">
      <w:lvlJc w:val="left"/>
      <w:lvlText w:val="(%3)"/>
      <w:numFmt w:val="upperLetter"/>
      <w:start w:val="1"/>
    </w:lvl>
  </w:abstractNum>
  <w:abstractNum w:abstractNumId="32">
    <w:nsid w:val="71EA1109"/>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2"/>
    </w:lvl>
  </w:abstractNum>
  <w:abstractNum w:abstractNumId="33">
    <w:nsid w:val="100F59DC"/>
    <w:multiLevelType w:val="hybridMultilevel"/>
    <w:lvl w:ilvl="0">
      <w:lvlJc w:val="left"/>
      <w:lvlText w:val="%1"/>
      <w:numFmt w:val="decimal"/>
      <w:start w:val="1"/>
    </w:lvl>
    <w:lvl w:ilvl="1">
      <w:lvlJc w:val="left"/>
      <w:lvlText w:val="(%2)"/>
      <w:numFmt w:val="lowerRoman"/>
      <w:start w:val="2"/>
    </w:lvl>
    <w:lvl w:ilvl="2">
      <w:lvlJc w:val="left"/>
      <w:lvlText w:val="%3"/>
      <w:numFmt w:val="upperLetter"/>
      <w:start w:val="1"/>
    </w:lvl>
  </w:abstractNum>
  <w:abstractNum w:abstractNumId="34">
    <w:nsid w:val="7FB7E0AA"/>
    <w:multiLevelType w:val="hybridMultilevel"/>
    <w:lvl w:ilvl="0">
      <w:lvlJc w:val="left"/>
      <w:lvlText w:val="(%1)"/>
      <w:numFmt w:val="decimal"/>
      <w:start w:val="5"/>
    </w:lvl>
    <w:lvl w:ilvl="1">
      <w:lvlJc w:val="left"/>
      <w:lvlText w:val="(%2)"/>
      <w:numFmt w:val="lowerRoman"/>
      <w:start w:val="1"/>
    </w:lvl>
    <w:lvl w:ilvl="2">
      <w:lvlJc w:val="left"/>
      <w:lvlText w:val="%3"/>
      <w:numFmt w:val="upperLetter"/>
      <w:start w:val="1"/>
    </w:lvl>
  </w:abstractNum>
  <w:abstractNum w:abstractNumId="35">
    <w:nsid w:val="6EB5BD4"/>
    <w:multiLevelType w:val="hybridMultilevel"/>
    <w:lvl w:ilvl="0">
      <w:lvlJc w:val="left"/>
      <w:lvlText w:val="(%1)"/>
      <w:numFmt w:val="decimal"/>
      <w:start w:val="6"/>
    </w:lvl>
    <w:lvl w:ilvl="1">
      <w:lvlJc w:val="left"/>
      <w:lvlText w:val="(%2)"/>
      <w:numFmt w:val="lowerRoman"/>
      <w:start w:val="1"/>
    </w:lvl>
  </w:abstractNum>
  <w:abstractNum w:abstractNumId="36">
    <w:nsid w:val="6F6DD9AC"/>
    <w:multiLevelType w:val="hybridMultilevel"/>
    <w:lvl w:ilvl="0">
      <w:lvlJc w:val="left"/>
      <w:lvlText w:val="["/>
      <w:numFmt w:val="bullet"/>
      <w:start w:val="1"/>
    </w:lvl>
  </w:abstractNum>
  <w:abstractNum w:abstractNumId="37">
    <w:nsid w:val="94211F2"/>
    <w:multiLevelType w:val="hybridMultilevel"/>
    <w:lvl w:ilvl="0">
      <w:lvlJc w:val="left"/>
      <w:lvlText w:val="(%1)"/>
      <w:numFmt w:val="decimal"/>
      <w:start w:val="1"/>
    </w:lvl>
  </w:abstractNum>
  <w:abstractNum w:abstractNumId="38">
    <w:nsid w:val="885E1B"/>
    <w:multiLevelType w:val="hybridMultilevel"/>
    <w:lvl w:ilvl="0">
      <w:lvlJc w:val="left"/>
      <w:lvlText w:val="(%1)"/>
      <w:numFmt w:val="decimal"/>
      <w:start w:val="2"/>
    </w:lvl>
  </w:abstractNum>
  <w:abstractNum w:abstractNumId="39">
    <w:nsid w:val="76272110"/>
    <w:multiLevelType w:val="hybridMultilevel"/>
    <w:lvl w:ilvl="0">
      <w:lvlJc w:val="left"/>
      <w:lvlText w:val="(%1)"/>
      <w:numFmt w:val="lowerLetter"/>
      <w:start w:val="1"/>
    </w:lvl>
  </w:abstractNum>
  <w:abstractNum w:abstractNumId="40">
    <w:nsid w:val="4C04A8AF"/>
    <w:multiLevelType w:val="hybridMultilevel"/>
    <w:lvl w:ilvl="0">
      <w:lvlJc w:val="left"/>
      <w:lvlText w:val="(%1)"/>
      <w:numFmt w:val="decimal"/>
      <w:start w:val="1"/>
    </w:lvl>
  </w:abstractNum>
  <w:abstractNum w:abstractNumId="41">
    <w:nsid w:val="1716703B"/>
    <w:multiLevelType w:val="hybridMultilevel"/>
    <w:lvl w:ilvl="0">
      <w:lvlJc w:val="left"/>
      <w:lvlText w:val="(%1)"/>
      <w:numFmt w:val="decimal"/>
      <w:start w:val="9"/>
    </w:lvl>
  </w:abstractNum>
  <w:abstractNum w:abstractNumId="42">
    <w:nsid w:val="14E17E33"/>
    <w:multiLevelType w:val="hybridMultilevel"/>
    <w:lvl w:ilvl="0">
      <w:lvlJc w:val="left"/>
      <w:lvlText w:val="(%1)"/>
      <w:numFmt w:val="decimal"/>
      <w:start w:val="1"/>
    </w:lvl>
  </w:abstractNum>
  <w:abstractNum w:abstractNumId="43">
    <w:nsid w:val="3222E7CD"/>
    <w:multiLevelType w:val="hybridMultilevel"/>
    <w:lvl w:ilvl="0">
      <w:lvlJc w:val="left"/>
      <w:lvlText w:val="(%1)"/>
      <w:numFmt w:val="decimal"/>
      <w:start w:val="2"/>
    </w:lvl>
  </w:abstractNum>
  <w:abstractNum w:abstractNumId="44">
    <w:nsid w:val="74DE0EE3"/>
    <w:multiLevelType w:val="hybridMultilevel"/>
    <w:lvl w:ilvl="0">
      <w:lvlJc w:val="left"/>
      <w:lvlText w:val="(%1)"/>
      <w:numFmt w:val="lowerLetter"/>
      <w:start w:val="1"/>
    </w:lvl>
  </w:abstractNum>
  <w:abstractNum w:abstractNumId="45">
    <w:nsid w:val="68EBC550"/>
    <w:multiLevelType w:val="hybridMultilevel"/>
    <w:lvl w:ilvl="0">
      <w:lvlJc w:val="left"/>
      <w:lvlText w:val="(%1)"/>
      <w:numFmt w:val="lowerLetter"/>
      <w:start w:val="3"/>
    </w:lvl>
  </w:abstractNum>
  <w:abstractNum w:abstractNumId="46">
    <w:nsid w:val="2DF6D648"/>
    <w:multiLevelType w:val="hybridMultilevel"/>
    <w:lvl w:ilvl="0">
      <w:lvlJc w:val="left"/>
      <w:lvlText w:val="(%1)"/>
      <w:numFmt w:val="lowerLetter"/>
      <w:start w:val="1"/>
    </w:lvl>
  </w:abstractNum>
  <w:abstractNum w:abstractNumId="47">
    <w:nsid w:val="46B7D447"/>
    <w:multiLevelType w:val="hybridMultilevel"/>
    <w:lvl w:ilvl="0">
      <w:lvlJc w:val="left"/>
      <w:lvlText w:val="(%1)"/>
      <w:numFmt w:val="lowerLetter"/>
      <w:start w:val="1"/>
    </w:lvl>
  </w:abstractNum>
  <w:abstractNum w:abstractNumId="48">
    <w:nsid w:val="4A2AC315"/>
    <w:multiLevelType w:val="hybridMultilevel"/>
    <w:lvl w:ilvl="0">
      <w:lvlJc w:val="left"/>
      <w:lvlText w:val="(%1)"/>
      <w:numFmt w:val="lowerLetter"/>
      <w:start w:val="2"/>
    </w:lvl>
  </w:abstractNum>
  <w:abstractNum w:abstractNumId="49">
    <w:nsid w:val="39EE015C"/>
    <w:multiLevelType w:val="hybridMultilevel"/>
    <w:lvl w:ilvl="0">
      <w:lvlJc w:val="left"/>
      <w:lvlText w:val="(%1)"/>
      <w:numFmt w:val="lowerLetter"/>
      <w:start w:val="1"/>
    </w:lvl>
  </w:abstractNum>
  <w:abstractNum w:abstractNumId="50">
    <w:nsid w:val="57FC4FBB"/>
    <w:multiLevelType w:val="hybridMultilevel"/>
    <w:lvl w:ilvl="0">
      <w:lvlJc w:val="left"/>
      <w:lvlText w:val="(%1)"/>
      <w:numFmt w:val="lowerLetter"/>
      <w:start w:val="1"/>
    </w:lvl>
  </w:abstractNum>
  <w:abstractNum w:abstractNumId="51">
    <w:nsid w:val="CC1016F"/>
    <w:multiLevelType w:val="hybridMultilevel"/>
    <w:lvl w:ilvl="0">
      <w:lvlJc w:val="left"/>
      <w:lvlText w:val="(%1)"/>
      <w:numFmt w:val="decimal"/>
      <w:start w:val="1"/>
    </w:lvl>
  </w:abstractNum>
  <w:abstractNum w:abstractNumId="52">
    <w:nsid w:val="43F18422"/>
    <w:multiLevelType w:val="hybridMultilevel"/>
    <w:lvl w:ilvl="0">
      <w:lvlJc w:val="left"/>
      <w:lvlText w:val="(%1)"/>
      <w:numFmt w:val="lowerLetter"/>
      <w:start w:val="2"/>
    </w:lvl>
  </w:abstractNum>
  <w:abstractNum w:abstractNumId="53">
    <w:nsid w:val="60EF0119"/>
    <w:multiLevelType w:val="hybridMultilevel"/>
    <w:lvl w:ilvl="0">
      <w:lvlJc w:val="left"/>
      <w:lvlText w:val="(%1)"/>
      <w:numFmt w:val="lowerLetter"/>
      <w:start w:val="1"/>
    </w:lvl>
  </w:abstractNum>
  <w:abstractNum w:abstractNumId="54">
    <w:nsid w:val="26F324BA"/>
    <w:multiLevelType w:val="hybridMultilevel"/>
    <w:lvl w:ilvl="0">
      <w:lvlJc w:val="left"/>
      <w:lvlText w:val="(%1)"/>
      <w:numFmt w:val="lowerLetter"/>
      <w:start w:val="1"/>
    </w:lvl>
  </w:abstractNum>
  <w:abstractNum w:abstractNumId="55">
    <w:nsid w:val="7F01579B"/>
    <w:multiLevelType w:val="hybridMultilevel"/>
    <w:lvl w:ilvl="0">
      <w:lvlJc w:val="left"/>
      <w:lvlText w:val="(%1)"/>
      <w:numFmt w:val="lowerLetter"/>
      <w:start w:val="1"/>
    </w:lvl>
  </w:abstractNum>
  <w:abstractNum w:abstractNumId="56">
    <w:nsid w:val="49DA307D"/>
    <w:multiLevelType w:val="hybridMultilevel"/>
    <w:lvl w:ilvl="0">
      <w:lvlJc w:val="left"/>
      <w:lvlText w:val="(%1)"/>
      <w:numFmt w:val="lowerLetter"/>
      <w:start w:val="1"/>
    </w:lvl>
  </w:abstractNum>
  <w:abstractNum w:abstractNumId="57">
    <w:nsid w:val="7055A5F5"/>
    <w:multiLevelType w:val="hybridMultilevel"/>
    <w:lvl w:ilvl="0">
      <w:lvlJc w:val="left"/>
      <w:lvlText w:val="(%1)"/>
      <w:numFmt w:val="decimal"/>
      <w:start w:val="1"/>
    </w:lvl>
  </w:abstractNum>
  <w:abstractNum w:abstractNumId="58">
    <w:nsid w:val="5FB8370B"/>
    <w:multiLevelType w:val="hybridMultilevel"/>
    <w:lvl w:ilvl="0">
      <w:lvlJc w:val="left"/>
      <w:lvlText w:val="(%1)"/>
      <w:numFmt w:val="lowerLetter"/>
      <w:start w:val="2"/>
    </w:lvl>
  </w:abstractNum>
  <w:abstractNum w:abstractNumId="59">
    <w:nsid w:val="50801EE1"/>
    <w:multiLevelType w:val="hybridMultilevel"/>
    <w:lvl w:ilvl="0">
      <w:lvlJc w:val="left"/>
      <w:lvlText w:val="(%1)"/>
      <w:numFmt w:val="lowerLetter"/>
      <w:start w:val="1"/>
    </w:lvl>
  </w:abstractNum>
  <w:abstractNum w:abstractNumId="60">
    <w:nsid w:val="488AC1A"/>
    <w:multiLevelType w:val="hybridMultilevel"/>
    <w:lvl w:ilvl="0">
      <w:lvlJc w:val="left"/>
      <w:lvlText w:val="(%1)"/>
      <w:numFmt w:val="lowerLetter"/>
      <w:start w:val="2"/>
    </w:lvl>
  </w:abstractNum>
  <w:abstractNum w:abstractNumId="61">
    <w:nsid w:val="5FB8011C"/>
    <w:multiLevelType w:val="hybridMultilevel"/>
    <w:lvl w:ilvl="0">
      <w:lvlJc w:val="left"/>
      <w:lvlText w:val="(%1)"/>
      <w:numFmt w:val="lowerLetter"/>
      <w:start w:val="1"/>
    </w:lvl>
  </w:abstractNum>
  <w:abstractNum w:abstractNumId="62">
    <w:nsid w:val="6AA78F7F"/>
    <w:multiLevelType w:val="hybridMultilevel"/>
    <w:lvl w:ilvl="0">
      <w:lvlJc w:val="left"/>
      <w:lvlText w:val="(%1)"/>
      <w:numFmt w:val="lowerLetter"/>
      <w:start w:val="1"/>
    </w:lvl>
  </w:abstractNum>
  <w:abstractNum w:abstractNumId="63">
    <w:nsid w:val="7672BD23"/>
    <w:multiLevelType w:val="hybridMultilevel"/>
    <w:lvl w:ilvl="0">
      <w:lvlJc w:val="left"/>
      <w:lvlText w:val="(%1)"/>
      <w:numFmt w:val="decimal"/>
      <w:start w:val="1"/>
    </w:lvl>
  </w:abstractNum>
  <w:abstractNum w:abstractNumId="64">
    <w:nsid w:val="6FC75AF8"/>
    <w:multiLevelType w:val="hybridMultilevel"/>
    <w:lvl w:ilvl="0">
      <w:lvlJc w:val="left"/>
      <w:lvlText w:val="(%1)"/>
      <w:numFmt w:val="lowerRoman"/>
      <w:start w:val="1"/>
    </w:lvl>
  </w:abstractNum>
  <w:abstractNum w:abstractNumId="65">
    <w:nsid w:val="6A5F7029"/>
    <w:multiLevelType w:val="hybridMultilevel"/>
    <w:lvl w:ilvl="0">
      <w:lvlJc w:val="left"/>
      <w:lvlText w:val="(%1)"/>
      <w:numFmt w:val="decimal"/>
      <w:start w:val="2"/>
    </w:lvl>
  </w:abstractNum>
  <w:abstractNum w:abstractNumId="66">
    <w:nsid w:val="7D5E18F8"/>
    <w:multiLevelType w:val="hybridMultilevel"/>
    <w:lvl w:ilvl="0">
      <w:lvlJc w:val="left"/>
      <w:lvlText w:val="(%1)"/>
      <w:numFmt w:val="decimal"/>
      <w:start w:val="3"/>
    </w:lvl>
  </w:abstractNum>
  <w:abstractNum w:abstractNumId="67">
    <w:nsid w:val="5F3534A4"/>
    <w:multiLevelType w:val="hybridMultilevel"/>
    <w:lvl w:ilvl="0">
      <w:lvlJc w:val="left"/>
      <w:lvlText w:val="(%1)"/>
      <w:numFmt w:val="lowerLetter"/>
      <w:start w:val="1"/>
    </w:lvl>
  </w:abstractNum>
  <w:abstractNum w:abstractNumId="68">
    <w:nsid w:val="73A1821B"/>
    <w:multiLevelType w:val="hybridMultilevel"/>
    <w:lvl w:ilvl="0">
      <w:lvlJc w:val="left"/>
      <w:lvlText w:val="(%1)"/>
      <w:numFmt w:val="lowerLetter"/>
      <w:start w:val="6"/>
    </w:lvl>
  </w:abstractNum>
  <w:abstractNum w:abstractNumId="69">
    <w:nsid w:val="7DE67713"/>
    <w:multiLevelType w:val="hybridMultilevel"/>
    <w:lvl w:ilvl="0">
      <w:lvlJc w:val="left"/>
      <w:lvlText w:val="(%1)"/>
      <w:numFmt w:val="lowerLetter"/>
      <w:start w:val="1"/>
    </w:lvl>
  </w:abstractNum>
  <w:abstractNum w:abstractNumId="70">
    <w:nsid w:val="555C55B5"/>
    <w:multiLevelType w:val="hybridMultilevel"/>
    <w:lvl w:ilvl="0">
      <w:lvlJc w:val="left"/>
      <w:lvlText w:val="(%1)"/>
      <w:numFmt w:val="lowerLetter"/>
      <w:start w:val="1"/>
    </w:lvl>
  </w:abstractNum>
  <w:abstractNum w:abstractNumId="71">
    <w:nsid w:val="3FA62ACA"/>
    <w:multiLevelType w:val="hybridMultilevel"/>
    <w:lvl w:ilvl="0">
      <w:lvlJc w:val="left"/>
      <w:lvlText w:val="(%1)"/>
      <w:numFmt w:val="lowerLetter"/>
      <w:start w:val="1"/>
    </w:lvl>
  </w:abstractNum>
  <w:abstractNum w:abstractNumId="72">
    <w:nsid w:val="14FCE74E"/>
    <w:multiLevelType w:val="hybridMultilevel"/>
    <w:lvl w:ilvl="0">
      <w:lvlJc w:val="left"/>
      <w:lvlText w:val="(%1)"/>
      <w:numFmt w:val="decimal"/>
      <w:start w:val="1"/>
    </w:lvl>
  </w:abstractNum>
  <w:abstractNum w:abstractNumId="73">
    <w:nsid w:val="6A3DD3E8"/>
    <w:multiLevelType w:val="hybridMultilevel"/>
    <w:lvl w:ilvl="0">
      <w:lvlJc w:val="left"/>
      <w:lvlText w:val="(%1)"/>
      <w:numFmt w:val="lowerLetter"/>
      <w:start w:val="3"/>
    </w:lvl>
  </w:abstractNum>
  <w:abstractNum w:abstractNumId="74">
    <w:nsid w:val="71C91298"/>
    <w:multiLevelType w:val="hybridMultilevel"/>
    <w:lvl w:ilvl="0">
      <w:lvlJc w:val="left"/>
      <w:lvlText w:val="(%1)"/>
      <w:numFmt w:val="lowerLetter"/>
      <w:start w:val="1"/>
    </w:lvl>
  </w:abstractNum>
  <w:abstractNum w:abstractNumId="75">
    <w:nsid w:val="9DAF632"/>
    <w:multiLevelType w:val="hybridMultilevel"/>
    <w:lvl w:ilvl="0">
      <w:lvlJc w:val="left"/>
      <w:lvlText w:val="(%1)"/>
      <w:numFmt w:val="lowerLetter"/>
      <w:start w:val="5"/>
    </w:lvl>
  </w:abstractNum>
  <w:abstractNum w:abstractNumId="76">
    <w:nsid w:val="53299938"/>
    <w:multiLevelType w:val="hybridMultilevel"/>
    <w:lvl w:ilvl="0">
      <w:lvlJc w:val="left"/>
      <w:lvlText w:val="(%1)"/>
      <w:numFmt w:val="lowerLetter"/>
      <w:start w:val="1"/>
    </w:lvl>
  </w:abstractNum>
  <w:abstractNum w:abstractNumId="77">
    <w:nsid w:val="1FBFE8E0"/>
    <w:multiLevelType w:val="hybridMultilevel"/>
    <w:lvl w:ilvl="0">
      <w:lvlJc w:val="left"/>
      <w:lvlText w:val="(%1)"/>
      <w:numFmt w:val="lowerLetter"/>
      <w:start w:val="1"/>
    </w:lvl>
  </w:abstractNum>
  <w:abstractNum w:abstractNumId="78">
    <w:nsid w:val="5092CA79"/>
    <w:multiLevelType w:val="hybridMultilevel"/>
    <w:lvl w:ilvl="0">
      <w:lvlJc w:val="left"/>
      <w:lvlText w:val="(%1)"/>
      <w:numFmt w:val="lowerLetter"/>
      <w:start w:val="1"/>
    </w:lvl>
  </w:abstractNum>
  <w:abstractNum w:abstractNumId="79">
    <w:nsid w:val="1D545C4D"/>
    <w:multiLevelType w:val="hybridMultilevel"/>
    <w:lvl w:ilvl="0">
      <w:lvlJc w:val="left"/>
      <w:lvlText w:val="(%1)"/>
      <w:numFmt w:val="lowerLetter"/>
      <w:start w:val="1"/>
    </w:lvl>
  </w:abstractNum>
  <w:abstractNum w:abstractNumId="80">
    <w:nsid w:val="59ADEA3D"/>
    <w:multiLevelType w:val="hybridMultilevel"/>
    <w:lvl w:ilvl="0">
      <w:lvlJc w:val="left"/>
      <w:lvlText w:val="(%1)"/>
      <w:numFmt w:val="lowerLetter"/>
      <w:start w:val="1"/>
    </w:lvl>
  </w:abstractNum>
  <w:abstractNum w:abstractNumId="81">
    <w:nsid w:val="288F1A34"/>
    <w:multiLevelType w:val="hybridMultilevel"/>
    <w:lvl w:ilvl="0">
      <w:lvlJc w:val="left"/>
      <w:lvlText w:val="(%1)"/>
      <w:numFmt w:val="lowerLetter"/>
      <w:start w:val="1"/>
    </w:lvl>
  </w:abstractNum>
  <w:abstractNum w:abstractNumId="82">
    <w:nsid w:val="2A155DBC"/>
    <w:multiLevelType w:val="hybridMultilevel"/>
    <w:lvl w:ilvl="0">
      <w:lvlJc w:val="left"/>
      <w:lvlText w:val="["/>
      <w:numFmt w:val="bullet"/>
      <w:start w:val="1"/>
    </w:lvl>
  </w:abstractNum>
  <w:abstractNum w:abstractNumId="83">
    <w:nsid w:val="1D9F6E5F"/>
    <w:multiLevelType w:val="hybridMultilevel"/>
    <w:lvl w:ilvl="0">
      <w:lvlJc w:val="left"/>
      <w:lvlText w:val="(%1)"/>
      <w:numFmt w:val="decimal"/>
      <w:start w:val="1"/>
    </w:lvl>
  </w:abstractNum>
  <w:abstractNum w:abstractNumId="84">
    <w:nsid w:val="97E1B4E"/>
    <w:multiLevelType w:val="hybridMultilevel"/>
    <w:lvl w:ilvl="0">
      <w:lvlJc w:val="left"/>
      <w:lvlText w:val="(%1)"/>
      <w:numFmt w:val="decimal"/>
      <w:start w:val="2"/>
    </w:lvl>
  </w:abstractNum>
  <w:abstractNum w:abstractNumId="85">
    <w:nsid w:val="51088277"/>
    <w:multiLevelType w:val="hybridMultilevel"/>
    <w:lvl w:ilvl="0">
      <w:lvlJc w:val="left"/>
      <w:lvlText w:val="(%1)"/>
      <w:numFmt w:val="lowerLetter"/>
      <w:start w:val="1"/>
    </w:lvl>
  </w:abstractNum>
  <w:abstractNum w:abstractNumId="86">
    <w:nsid w:val="1CA0C5FA"/>
    <w:multiLevelType w:val="hybridMultilevel"/>
    <w:lvl w:ilvl="0">
      <w:lvlJc w:val="left"/>
      <w:lvlText w:val="(%1)"/>
      <w:numFmt w:val="decimal"/>
      <w:start w:val="1"/>
    </w:lvl>
  </w:abstractNum>
  <w:abstractNum w:abstractNumId="87">
    <w:nsid w:val="53584BCB"/>
    <w:multiLevelType w:val="hybridMultilevel"/>
    <w:lvl w:ilvl="0">
      <w:lvlJc w:val="left"/>
      <w:lvlText w:val="(%1)"/>
      <w:numFmt w:val="decimal"/>
      <w:start w:val="9"/>
    </w:lvl>
  </w:abstractNum>
  <w:abstractNum w:abstractNumId="88">
    <w:nsid w:val="415E286C"/>
    <w:multiLevelType w:val="hybridMultilevel"/>
    <w:lvl w:ilvl="0">
      <w:lvlJc w:val="left"/>
      <w:lvlText w:val="(%1)"/>
      <w:numFmt w:val="decimal"/>
      <w:start w:val="1"/>
    </w:lvl>
  </w:abstractNum>
  <w:abstractNum w:abstractNumId="89">
    <w:nsid w:val="7C58FD05"/>
    <w:multiLevelType w:val="hybridMultilevel"/>
    <w:lvl w:ilvl="0">
      <w:lvlJc w:val="left"/>
      <w:lvlText w:val="(%1)"/>
      <w:numFmt w:val="decimal"/>
      <w:start w:val="2"/>
    </w:lvl>
  </w:abstractNum>
  <w:abstractNum w:abstractNumId="90">
    <w:nsid w:val="23D86AAC"/>
    <w:multiLevelType w:val="hybridMultilevel"/>
    <w:lvl w:ilvl="0">
      <w:lvlJc w:val="left"/>
      <w:lvlText w:val="(%1)"/>
      <w:numFmt w:val="lowerLetter"/>
      <w:start w:val="1"/>
    </w:lvl>
  </w:abstractNum>
  <w:abstractNum w:abstractNumId="91">
    <w:nsid w:val="45E6D486"/>
    <w:multiLevelType w:val="hybridMultilevel"/>
    <w:lvl w:ilvl="0">
      <w:lvlJc w:val="left"/>
      <w:lvlText w:val="(%1)"/>
      <w:numFmt w:val="lowerLetter"/>
      <w:start w:val="3"/>
    </w:lvl>
  </w:abstractNum>
  <w:abstractNum w:abstractNumId="92">
    <w:nsid w:val="5C10FE21"/>
    <w:multiLevelType w:val="hybridMultilevel"/>
    <w:lvl w:ilvl="0">
      <w:lvlJc w:val="left"/>
      <w:lvlText w:val="(%1)"/>
      <w:numFmt w:val="lowerLetter"/>
      <w:start w:val="1"/>
    </w:lvl>
  </w:abstractNum>
  <w:abstractNum w:abstractNumId="93">
    <w:nsid w:val="E7FFA2B"/>
    <w:multiLevelType w:val="hybridMultilevel"/>
    <w:lvl w:ilvl="0">
      <w:lvlJc w:val="left"/>
      <w:lvlText w:val="(%1)"/>
      <w:numFmt w:val="lowerLetter"/>
      <w:start w:val="1"/>
    </w:lvl>
  </w:abstractNum>
  <w:abstractNum w:abstractNumId="94">
    <w:nsid w:val="3C5991AA"/>
    <w:multiLevelType w:val="hybridMultilevel"/>
    <w:lvl w:ilvl="0">
      <w:lvlJc w:val="left"/>
      <w:lvlText w:val="(%1)"/>
      <w:numFmt w:val="lowerLetter"/>
      <w:start w:val="2"/>
    </w:lvl>
  </w:abstractNum>
  <w:abstractNum w:abstractNumId="95">
    <w:nsid w:val="4BD8591A"/>
    <w:multiLevelType w:val="hybridMultilevel"/>
    <w:lvl w:ilvl="0">
      <w:lvlJc w:val="left"/>
      <w:lvlText w:val="(%1)"/>
      <w:numFmt w:val="lowerLetter"/>
      <w:start w:val="1"/>
    </w:lvl>
  </w:abstractNum>
  <w:abstractNum w:abstractNumId="96">
    <w:nsid w:val="78DF6A55"/>
    <w:multiLevelType w:val="hybridMultilevel"/>
    <w:lvl w:ilvl="0">
      <w:lvlJc w:val="left"/>
      <w:lvlText w:val="(%1)"/>
      <w:numFmt w:val="lowerLetter"/>
      <w:start w:val="1"/>
    </w:lvl>
  </w:abstractNum>
  <w:abstractNum w:abstractNumId="97">
    <w:nsid w:val="39B7AAA2"/>
    <w:multiLevelType w:val="hybridMultilevel"/>
    <w:lvl w:ilvl="0">
      <w:lvlJc w:val="left"/>
      <w:lvlText w:val="(%1)"/>
      <w:numFmt w:val="decimal"/>
      <w:start w:val="1"/>
    </w:lvl>
  </w:abstractNum>
  <w:abstractNum w:abstractNumId="98">
    <w:nsid w:val="2B0D8DBE"/>
    <w:multiLevelType w:val="hybridMultilevel"/>
    <w:lvl w:ilvl="0">
      <w:lvlJc w:val="left"/>
      <w:lvlText w:val="(%1)"/>
      <w:numFmt w:val="lowerLetter"/>
      <w:start w:val="2"/>
    </w:lvl>
  </w:abstractNum>
  <w:abstractNum w:abstractNumId="99">
    <w:nsid w:val="6C80EC70"/>
    <w:multiLevelType w:val="hybridMultilevel"/>
    <w:lvl w:ilvl="0">
      <w:lvlJc w:val="left"/>
      <w:lvlText w:val="(%1)"/>
      <w:numFmt w:val="lowerLetter"/>
      <w:start w:val="1"/>
    </w:lvl>
  </w:abstractNum>
  <w:abstractNum w:abstractNumId="100">
    <w:nsid w:val="379E21B5"/>
    <w:multiLevelType w:val="hybridMultilevel"/>
    <w:lvl w:ilvl="0">
      <w:lvlJc w:val="left"/>
      <w:lvlText w:val="(%1)"/>
      <w:numFmt w:val="lowerLetter"/>
      <w:start w:val="1"/>
    </w:lvl>
  </w:abstractNum>
  <w:abstractNum w:abstractNumId="101">
    <w:nsid w:val="69E373"/>
    <w:multiLevelType w:val="hybridMultilevel"/>
    <w:lvl w:ilvl="0">
      <w:lvlJc w:val="left"/>
      <w:lvlText w:val="(%1)"/>
      <w:numFmt w:val="lowerLetter"/>
      <w:start w:val="1"/>
    </w:lvl>
  </w:abstractNum>
  <w:abstractNum w:abstractNumId="102">
    <w:nsid w:val="2C27173B"/>
    <w:multiLevelType w:val="hybridMultilevel"/>
    <w:lvl w:ilvl="0">
      <w:lvlJc w:val="left"/>
      <w:lvlText w:val="(%1)"/>
      <w:numFmt w:val="lowerLetter"/>
      <w:start w:val="1"/>
    </w:lvl>
  </w:abstractNum>
  <w:abstractNum w:abstractNumId="103">
    <w:nsid w:val="4C9B0904"/>
    <w:multiLevelType w:val="hybridMultilevel"/>
    <w:lvl w:ilvl="0">
      <w:lvlJc w:val="left"/>
      <w:lvlText w:val="(%1)"/>
      <w:numFmt w:val="decimal"/>
      <w:start w:val="1"/>
    </w:lvl>
  </w:abstractNum>
  <w:abstractNum w:abstractNumId="104">
    <w:nsid w:val="6AA7B75C"/>
    <w:multiLevelType w:val="hybridMultilevel"/>
    <w:lvl w:ilvl="0">
      <w:lvlJc w:val="left"/>
      <w:lvlText w:val="(%1)"/>
      <w:numFmt w:val="lowerLetter"/>
      <w:start w:val="2"/>
    </w:lvl>
  </w:abstractNum>
  <w:abstractNum w:abstractNumId="105">
    <w:nsid w:val="1DF029D3"/>
    <w:multiLevelType w:val="hybridMultilevel"/>
    <w:lvl w:ilvl="0">
      <w:lvlJc w:val="left"/>
      <w:lvlText w:val="(%1)"/>
      <w:numFmt w:val="lowerLetter"/>
      <w:start w:val="1"/>
    </w:lvl>
  </w:abstractNum>
  <w:abstractNum w:abstractNumId="106">
    <w:nsid w:val="5675FF36"/>
    <w:multiLevelType w:val="hybridMultilevel"/>
    <w:lvl w:ilvl="0">
      <w:lvlJc w:val="left"/>
      <w:lvlText w:val="(%1)"/>
      <w:numFmt w:val="lowerLetter"/>
      <w:start w:val="2"/>
    </w:lvl>
  </w:abstractNum>
  <w:abstractNum w:abstractNumId="107">
    <w:nsid w:val="3DD15094"/>
    <w:multiLevelType w:val="hybridMultilevel"/>
    <w:lvl w:ilvl="0">
      <w:lvlJc w:val="left"/>
      <w:lvlText w:val="(%1)"/>
      <w:numFmt w:val="lowerLetter"/>
      <w:start w:val="1"/>
    </w:lvl>
  </w:abstractNum>
  <w:abstractNum w:abstractNumId="108">
    <w:nsid w:val="3DB012B3"/>
    <w:multiLevelType w:val="hybridMultilevel"/>
    <w:lvl w:ilvl="0">
      <w:lvlJc w:val="left"/>
      <w:lvlText w:val="(%1)"/>
      <w:numFmt w:val="lowerLetter"/>
      <w:start w:val="1"/>
    </w:lvl>
  </w:abstractNum>
  <w:abstractNum w:abstractNumId="109">
    <w:nsid w:val="2708C9AF"/>
    <w:multiLevelType w:val="hybridMultilevel"/>
    <w:lvl w:ilvl="0">
      <w:lvlJc w:val="left"/>
      <w:lvlText w:val="(%1)"/>
      <w:numFmt w:val="decimal"/>
      <w:start w:val="1"/>
    </w:lvl>
  </w:abstractNum>
  <w:abstractNum w:abstractNumId="110">
    <w:nsid w:val="5B25ACE2"/>
    <w:multiLevelType w:val="hybridMultilevel"/>
    <w:lvl w:ilvl="0">
      <w:lvlJc w:val="left"/>
      <w:lvlText w:val="(%1)"/>
      <w:numFmt w:val="lowerRoman"/>
      <w:start w:val="1"/>
    </w:lvl>
  </w:abstractNum>
  <w:abstractNum w:abstractNumId="111">
    <w:nsid w:val="175DFCF0"/>
    <w:multiLevelType w:val="hybridMultilevel"/>
    <w:lvl w:ilvl="0">
      <w:lvlJc w:val="left"/>
      <w:lvlText w:val="(%1)"/>
      <w:numFmt w:val="decimal"/>
      <w:start w:val="2"/>
    </w:lvl>
  </w:abstractNum>
  <w:abstractNum w:abstractNumId="112">
    <w:nsid w:val="4F97E3E4"/>
    <w:multiLevelType w:val="hybridMultilevel"/>
    <w:lvl w:ilvl="0">
      <w:lvlJc w:val="left"/>
      <w:lvlText w:val="(%1)"/>
      <w:numFmt w:val="decimal"/>
      <w:start w:val="3"/>
    </w:lvl>
  </w:abstractNum>
  <w:abstractNum w:abstractNumId="113">
    <w:nsid w:val="53B0A9E"/>
    <w:multiLevelType w:val="hybridMultilevel"/>
    <w:lvl w:ilvl="0">
      <w:lvlJc w:val="left"/>
      <w:lvlText w:val="(%1)"/>
      <w:numFmt w:val="lowerLetter"/>
      <w:start w:val="1"/>
    </w:lvl>
  </w:abstractNum>
  <w:abstractNum w:abstractNumId="114">
    <w:nsid w:val="34FD6B4F"/>
    <w:multiLevelType w:val="hybridMultilevel"/>
    <w:lvl w:ilvl="0">
      <w:lvlJc w:val="left"/>
      <w:lvlText w:val="(%1)"/>
      <w:numFmt w:val="lowerLetter"/>
      <w:start w:val="6"/>
    </w:lvl>
  </w:abstractNum>
  <w:abstractNum w:abstractNumId="115">
    <w:nsid w:val="5915FF32"/>
    <w:multiLevelType w:val="hybridMultilevel"/>
    <w:lvl w:ilvl="0">
      <w:lvlJc w:val="left"/>
      <w:lvlText w:val="(%1)"/>
      <w:numFmt w:val="lowerLetter"/>
      <w:start w:val="1"/>
    </w:lvl>
  </w:abstractNum>
  <w:abstractNum w:abstractNumId="116">
    <w:nsid w:val="56438D15"/>
    <w:multiLevelType w:val="hybridMultilevel"/>
    <w:lvl w:ilvl="0">
      <w:lvlJc w:val="left"/>
      <w:lvlText w:val="(%1)"/>
      <w:numFmt w:val="lowerLetter"/>
      <w:start w:val="1"/>
    </w:lvl>
  </w:abstractNum>
  <w:abstractNum w:abstractNumId="117">
    <w:nsid w:val="519E3149"/>
    <w:multiLevelType w:val="hybridMultilevel"/>
    <w:lvl w:ilvl="0">
      <w:lvlJc w:val="left"/>
      <w:lvlText w:val="(%1)"/>
      <w:numFmt w:val="lowerLetter"/>
      <w:start w:val="1"/>
    </w:lvl>
  </w:abstractNum>
  <w:abstractNum w:abstractNumId="118">
    <w:nsid w:val="2C6E4AFD"/>
    <w:multiLevelType w:val="hybridMultilevel"/>
    <w:lvl w:ilvl="0">
      <w:lvlJc w:val="left"/>
      <w:lvlText w:val="(%1)"/>
      <w:numFmt w:val="decimal"/>
      <w:start w:val="1"/>
    </w:lvl>
  </w:abstractNum>
  <w:abstractNum w:abstractNumId="119">
    <w:nsid w:val="17A1B582"/>
    <w:multiLevelType w:val="hybridMultilevel"/>
    <w:lvl w:ilvl="0">
      <w:lvlJc w:val="left"/>
      <w:lvlText w:val="(%1)"/>
      <w:numFmt w:val="lowerLetter"/>
      <w:start w:val="3"/>
    </w:lvl>
  </w:abstractNum>
  <w:abstractNum w:abstractNumId="120">
    <w:nsid w:val="4DF72E4E"/>
    <w:multiLevelType w:val="hybridMultilevel"/>
    <w:lvl w:ilvl="0">
      <w:lvlJc w:val="left"/>
      <w:lvlText w:val="(%1)"/>
      <w:numFmt w:val="lowerLetter"/>
      <w:start w:val="1"/>
    </w:lvl>
  </w:abstractNum>
  <w:abstractNum w:abstractNumId="121">
    <w:nsid w:val="5046B5A9"/>
    <w:multiLevelType w:val="hybridMultilevel"/>
    <w:lvl w:ilvl="0">
      <w:lvlJc w:val="left"/>
      <w:lvlText w:val="(%1)"/>
      <w:numFmt w:val="lowerLetter"/>
      <w:start w:val="5"/>
    </w:lvl>
  </w:abstractNum>
  <w:abstractNum w:abstractNumId="122">
    <w:nsid w:val="5D888A08"/>
    <w:multiLevelType w:val="hybridMultilevel"/>
    <w:lvl w:ilvl="0">
      <w:lvlJc w:val="left"/>
      <w:lvlText w:val="(%1)"/>
      <w:numFmt w:val="lowerLetter"/>
      <w:start w:val="1"/>
    </w:lvl>
  </w:abstractNum>
  <w:abstractNum w:abstractNumId="123">
    <w:nsid w:val="2A082C70"/>
    <w:multiLevelType w:val="hybridMultilevel"/>
    <w:lvl w:ilvl="0">
      <w:lvlJc w:val="left"/>
      <w:lvlText w:val="(%1)"/>
      <w:numFmt w:val="lowerLetter"/>
      <w:start w:val="1"/>
    </w:lvl>
  </w:abstractNum>
  <w:abstractNum w:abstractNumId="124">
    <w:nsid w:val="5EC6AFD4"/>
    <w:multiLevelType w:val="hybridMultilevel"/>
    <w:lvl w:ilvl="0">
      <w:lvlJc w:val="left"/>
      <w:lvlText w:val="(%1)"/>
      <w:numFmt w:val="lowerLetter"/>
      <w:start w:val="1"/>
    </w:lvl>
  </w:abstractNum>
  <w:abstractNum w:abstractNumId="125">
    <w:nsid w:val="19E21BB2"/>
    <w:multiLevelType w:val="hybridMultilevel"/>
    <w:lvl w:ilvl="0">
      <w:lvlJc w:val="left"/>
      <w:lvlText w:val="(%1)"/>
      <w:numFmt w:val="lowerLetter"/>
      <w:start w:val="1"/>
    </w:lvl>
  </w:abstractNum>
  <w:abstractNum w:abstractNumId="126">
    <w:nsid w:val="75E0858A"/>
    <w:multiLevelType w:val="hybridMultilevel"/>
    <w:lvl w:ilvl="0">
      <w:lvlJc w:val="left"/>
      <w:lvlText w:val="(%1)"/>
      <w:numFmt w:val="lowerLetter"/>
      <w:start w:val="1"/>
    </w:lvl>
  </w:abstractNum>
  <w:abstractNum w:abstractNumId="127">
    <w:nsid w:val="57A61A29"/>
    <w:multiLevelType w:val="hybridMultilevel"/>
    <w:lvl w:ilvl="0">
      <w:lvlJc w:val="left"/>
      <w:lvlText w:val="(%1)"/>
      <w:numFmt w:val="lowerLetter"/>
      <w:start w:val="1"/>
    </w:lvl>
  </w:abstractNum>
  <w:abstractNum w:abstractNumId="128">
    <w:nsid w:val="5399C654"/>
    <w:multiLevelType w:val="hybridMultilevel"/>
    <w:lvl w:ilvl="0">
      <w:lvlJc w:val="left"/>
      <w:lvlText w:val="%1."/>
      <w:numFmt w:val="decimal"/>
      <w:start w:val="1"/>
    </w:lvl>
  </w:abstractNum>
  <w:abstractNum w:abstractNumId="129">
    <w:nsid w:val="20EE1348"/>
    <w:multiLevelType w:val="hybridMultilevel"/>
    <w:lvl w:ilvl="0">
      <w:lvlJc w:val="left"/>
      <w:lvlText w:val="%1."/>
      <w:numFmt w:val="decimal"/>
      <w:start w:val="2"/>
    </w:lvl>
  </w:abstractNum>
  <w:abstractNum w:abstractNumId="130">
    <w:nsid w:val="4427069A"/>
    <w:multiLevelType w:val="hybridMultilevel"/>
    <w:lvl w:ilvl="0">
      <w:lvlJc w:val="left"/>
      <w:lvlText w:val="%1."/>
      <w:numFmt w:val="decimal"/>
      <w:start w:val="5"/>
    </w:lvl>
    <w:lvl w:ilvl="1">
      <w:lvlJc w:val="left"/>
      <w:lvlText w:val="(%2)"/>
      <w:numFmt w:val="lowerLetter"/>
      <w:start w:val="1"/>
    </w:lvl>
  </w:abstractNum>
  <w:abstractNum w:abstractNumId="131">
    <w:nsid w:val="B37E80A"/>
    <w:multiLevelType w:val="hybridMultilevel"/>
    <w:lvl w:ilvl="0">
      <w:lvlJc w:val="left"/>
      <w:lvlText w:val="(%1)"/>
      <w:numFmt w:val="lowerLetter"/>
      <w:start w:val="2"/>
    </w:lvl>
  </w:abstractNum>
  <w:abstractNum w:abstractNumId="132">
    <w:nsid w:val="2157F6BC"/>
    <w:multiLevelType w:val="hybridMultilevel"/>
    <w:lvl w:ilvl="0">
      <w:lvlJc w:val="left"/>
      <w:lvlText w:val="1"/>
      <w:numFmt w:val="bullet"/>
      <w:start w:val="1"/>
    </w:lvl>
  </w:abstractNum>
  <w:abstractNum w:abstractNumId="133">
    <w:nsid w:val="704E1DD5"/>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7" Type="http://schemas.openxmlformats.org/officeDocument/2006/relationships/image" Target="media/image57.png"/><Relationship Id="rId78" Type="http://schemas.openxmlformats.org/officeDocument/2006/relationships/image" Target="media/image58.png"/><Relationship Id="rId79" Type="http://schemas.openxmlformats.org/officeDocument/2006/relationships/image" Target="media/image59.png"/><Relationship Id="rId80" Type="http://schemas.openxmlformats.org/officeDocument/2006/relationships/image" Target="media/image60.png"/><Relationship Id="rId81" Type="http://schemas.openxmlformats.org/officeDocument/2006/relationships/image" Target="media/image61.png"/><Relationship Id="rId82" Type="http://schemas.openxmlformats.org/officeDocument/2006/relationships/image" Target="media/image62.png"/><Relationship Id="rId83" Type="http://schemas.openxmlformats.org/officeDocument/2006/relationships/image" Target="media/image63.png"/><Relationship Id="rId84" Type="http://schemas.openxmlformats.org/officeDocument/2006/relationships/image" Target="media/image64.png"/><Relationship Id="rId85" Type="http://schemas.openxmlformats.org/officeDocument/2006/relationships/image" Target="media/image65.png"/><Relationship Id="rId86" Type="http://schemas.openxmlformats.org/officeDocument/2006/relationships/image" Target="media/image66.png"/><Relationship Id="rId87" Type="http://schemas.openxmlformats.org/officeDocument/2006/relationships/image" Target="media/image67.png"/><Relationship Id="rId88" Type="http://schemas.openxmlformats.org/officeDocument/2006/relationships/image" Target="media/image68.png"/><Relationship Id="rId89" Type="http://schemas.openxmlformats.org/officeDocument/2006/relationships/image" Target="media/image69.png"/><Relationship Id="rId90" Type="http://schemas.openxmlformats.org/officeDocument/2006/relationships/image" Target="media/image70.png"/><Relationship Id="rId91" Type="http://schemas.openxmlformats.org/officeDocument/2006/relationships/image" Target="media/image71.png"/><Relationship Id="rId92" Type="http://schemas.openxmlformats.org/officeDocument/2006/relationships/image" Target="media/image72.png"/><Relationship Id="rId93" Type="http://schemas.openxmlformats.org/officeDocument/2006/relationships/image" Target="media/image73.png"/><Relationship Id="rId94" Type="http://schemas.openxmlformats.org/officeDocument/2006/relationships/image" Target="media/image74.png"/><Relationship Id="rId95" Type="http://schemas.openxmlformats.org/officeDocument/2006/relationships/image" Target="media/image75.png"/><Relationship Id="rId96" Type="http://schemas.openxmlformats.org/officeDocument/2006/relationships/image" Target="media/image76.png"/><Relationship Id="rId97" Type="http://schemas.openxmlformats.org/officeDocument/2006/relationships/image" Target="media/image77.png"/><Relationship Id="rId98" Type="http://schemas.openxmlformats.org/officeDocument/2006/relationships/image" Target="media/image78.png"/><Relationship Id="rId99" Type="http://schemas.openxmlformats.org/officeDocument/2006/relationships/image" Target="media/image79.png"/><Relationship Id="rId100" Type="http://schemas.openxmlformats.org/officeDocument/2006/relationships/image" Target="media/image80.png"/><Relationship Id="rId101" Type="http://schemas.openxmlformats.org/officeDocument/2006/relationships/image" Target="media/image81.png"/><Relationship Id="rId102" Type="http://schemas.openxmlformats.org/officeDocument/2006/relationships/image" Target="media/image82.png"/><Relationship Id="rId103" Type="http://schemas.openxmlformats.org/officeDocument/2006/relationships/image" Target="media/image83.png"/><Relationship Id="rId104" Type="http://schemas.openxmlformats.org/officeDocument/2006/relationships/image" Target="media/image84.png"/><Relationship Id="rId105" Type="http://schemas.openxmlformats.org/officeDocument/2006/relationships/image" Target="media/image85.png"/><Relationship Id="rId106" Type="http://schemas.openxmlformats.org/officeDocument/2006/relationships/image" Target="media/image86.png"/><Relationship Id="rId107" Type="http://schemas.openxmlformats.org/officeDocument/2006/relationships/image" Target="media/image87.png"/><Relationship Id="rId108" Type="http://schemas.openxmlformats.org/officeDocument/2006/relationships/image" Target="media/image88.png"/><Relationship Id="rId109" Type="http://schemas.openxmlformats.org/officeDocument/2006/relationships/image" Target="media/image89.png"/><Relationship Id="rId110" Type="http://schemas.openxmlformats.org/officeDocument/2006/relationships/image" Target="media/image90.png"/><Relationship Id="rId111" Type="http://schemas.openxmlformats.org/officeDocument/2006/relationships/image" Target="media/image91.png"/><Relationship Id="rId112" Type="http://schemas.openxmlformats.org/officeDocument/2006/relationships/image" Target="media/image92.png"/><Relationship Id="rId113" Type="http://schemas.openxmlformats.org/officeDocument/2006/relationships/image" Target="media/image93.png"/><Relationship Id="rId114" Type="http://schemas.openxmlformats.org/officeDocument/2006/relationships/image" Target="media/image94.png"/><Relationship Id="rId115" Type="http://schemas.openxmlformats.org/officeDocument/2006/relationships/image" Target="media/image95.png"/><Relationship Id="rId116" Type="http://schemas.openxmlformats.org/officeDocument/2006/relationships/image" Target="media/image96.png"/><Relationship Id="rId117" Type="http://schemas.openxmlformats.org/officeDocument/2006/relationships/image" Target="media/image97.png"/><Relationship Id="rId118" Type="http://schemas.openxmlformats.org/officeDocument/2006/relationships/image" Target="media/image98.png"/><Relationship Id="rId119" Type="http://schemas.openxmlformats.org/officeDocument/2006/relationships/image" Target="media/image99.png"/><Relationship Id="rId120" Type="http://schemas.openxmlformats.org/officeDocument/2006/relationships/image" Target="media/image100.png"/><Relationship Id="rId121" Type="http://schemas.openxmlformats.org/officeDocument/2006/relationships/image" Target="media/image101.png"/><Relationship Id="rId122" Type="http://schemas.openxmlformats.org/officeDocument/2006/relationships/image" Target="media/image102.png"/><Relationship Id="rId123" Type="http://schemas.openxmlformats.org/officeDocument/2006/relationships/image" Target="media/image103.png"/><Relationship Id="rId124" Type="http://schemas.openxmlformats.org/officeDocument/2006/relationships/image" Target="media/image104.png"/><Relationship Id="rId125" Type="http://schemas.openxmlformats.org/officeDocument/2006/relationships/image" Target="media/image105.png"/><Relationship Id="rId126" Type="http://schemas.openxmlformats.org/officeDocument/2006/relationships/image" Target="media/image106.png"/><Relationship Id="rId127" Type="http://schemas.openxmlformats.org/officeDocument/2006/relationships/image" Target="media/image107.png"/><Relationship Id="rId128" Type="http://schemas.openxmlformats.org/officeDocument/2006/relationships/image" Target="media/image108.png"/><Relationship Id="rId129" Type="http://schemas.openxmlformats.org/officeDocument/2006/relationships/image" Target="media/image109.png"/><Relationship Id="rId130" Type="http://schemas.openxmlformats.org/officeDocument/2006/relationships/image" Target="media/image110.png"/><Relationship Id="rId131" Type="http://schemas.openxmlformats.org/officeDocument/2006/relationships/image" Target="media/image111.png"/><Relationship Id="rId132" Type="http://schemas.openxmlformats.org/officeDocument/2006/relationships/image" Target="media/image112.png"/><Relationship Id="rId133" Type="http://schemas.openxmlformats.org/officeDocument/2006/relationships/image" Target="media/image113.png"/><Relationship Id="rId134" Type="http://schemas.openxmlformats.org/officeDocument/2006/relationships/image" Target="media/image114.png"/><Relationship Id="rId135" Type="http://schemas.openxmlformats.org/officeDocument/2006/relationships/image" Target="media/image115.png"/><Relationship Id="rId136" Type="http://schemas.openxmlformats.org/officeDocument/2006/relationships/image" Target="media/image116.png"/><Relationship Id="rId137" Type="http://schemas.openxmlformats.org/officeDocument/2006/relationships/image" Target="media/image117.png"/><Relationship Id="rId138" Type="http://schemas.openxmlformats.org/officeDocument/2006/relationships/image" Target="media/image118.png"/><Relationship Id="rId139" Type="http://schemas.openxmlformats.org/officeDocument/2006/relationships/image" Target="media/image119.png"/><Relationship Id="rId140" Type="http://schemas.openxmlformats.org/officeDocument/2006/relationships/image" Target="media/image120.png"/><Relationship Id="rId141" Type="http://schemas.openxmlformats.org/officeDocument/2006/relationships/image" Target="media/image121.png"/><Relationship Id="rId142" Type="http://schemas.openxmlformats.org/officeDocument/2006/relationships/image" Target="media/image122.png"/><Relationship Id="rId143" Type="http://schemas.openxmlformats.org/officeDocument/2006/relationships/image" Target="media/image123.png"/><Relationship Id="rId144" Type="http://schemas.openxmlformats.org/officeDocument/2006/relationships/image" Target="media/image124.png"/><Relationship Id="rId145" Type="http://schemas.openxmlformats.org/officeDocument/2006/relationships/image" Target="media/image125.png"/><Relationship Id="rId146" Type="http://schemas.openxmlformats.org/officeDocument/2006/relationships/image" Target="media/image126.png"/><Relationship Id="rId147" Type="http://schemas.openxmlformats.org/officeDocument/2006/relationships/image" Target="media/image127.png"/><Relationship Id="rId148" Type="http://schemas.openxmlformats.org/officeDocument/2006/relationships/image" Target="media/image128.png"/><Relationship Id="rId149" Type="http://schemas.openxmlformats.org/officeDocument/2006/relationships/image" Target="media/image129.png"/><Relationship Id="rId150" Type="http://schemas.openxmlformats.org/officeDocument/2006/relationships/image" Target="media/image130.png"/><Relationship Id="rId151" Type="http://schemas.openxmlformats.org/officeDocument/2006/relationships/image" Target="media/image131.png"/><Relationship Id="rId152" Type="http://schemas.openxmlformats.org/officeDocument/2006/relationships/image" Target="media/image132.png"/><Relationship Id="rId153" Type="http://schemas.openxmlformats.org/officeDocument/2006/relationships/image" Target="media/image133.png"/><Relationship Id="rId154" Type="http://schemas.openxmlformats.org/officeDocument/2006/relationships/image" Target="media/image134.png"/><Relationship Id="rId155" Type="http://schemas.openxmlformats.org/officeDocument/2006/relationships/image" Target="media/image135.png"/><Relationship Id="rId156" Type="http://schemas.openxmlformats.org/officeDocument/2006/relationships/image" Target="media/image136.png"/><Relationship Id="rId157" Type="http://schemas.openxmlformats.org/officeDocument/2006/relationships/image" Target="media/image137.png"/><Relationship Id="rId158" Type="http://schemas.openxmlformats.org/officeDocument/2006/relationships/image" Target="media/image138.png"/><Relationship Id="rId159" Type="http://schemas.openxmlformats.org/officeDocument/2006/relationships/image" Target="media/image139.png"/><Relationship Id="rId160" Type="http://schemas.openxmlformats.org/officeDocument/2006/relationships/image" Target="media/image140.png"/><Relationship Id="rId161" Type="http://schemas.openxmlformats.org/officeDocument/2006/relationships/image" Target="media/image141.png"/><Relationship Id="rId162" Type="http://schemas.openxmlformats.org/officeDocument/2006/relationships/image" Target="media/image142.png"/><Relationship Id="rId163" Type="http://schemas.openxmlformats.org/officeDocument/2006/relationships/image" Target="media/image143.png"/><Relationship Id="rId164" Type="http://schemas.openxmlformats.org/officeDocument/2006/relationships/image" Target="media/image144.png"/><Relationship Id="rId165" Type="http://schemas.openxmlformats.org/officeDocument/2006/relationships/image" Target="media/image145.png"/><Relationship Id="rId166" Type="http://schemas.openxmlformats.org/officeDocument/2006/relationships/image" Target="media/image146.png"/><Relationship Id="rId167" Type="http://schemas.openxmlformats.org/officeDocument/2006/relationships/image" Target="media/image147.png"/><Relationship Id="rId168" Type="http://schemas.openxmlformats.org/officeDocument/2006/relationships/image" Target="media/image148.png"/><Relationship Id="rId169" Type="http://schemas.openxmlformats.org/officeDocument/2006/relationships/image" Target="media/image149.png"/><Relationship Id="rId170" Type="http://schemas.openxmlformats.org/officeDocument/2006/relationships/image" Target="media/image150.png"/><Relationship Id="rId171" Type="http://schemas.openxmlformats.org/officeDocument/2006/relationships/image" Target="media/image151.png"/><Relationship Id="rId172" Type="http://schemas.openxmlformats.org/officeDocument/2006/relationships/image" Target="media/image152.png"/><Relationship Id="rId173" Type="http://schemas.openxmlformats.org/officeDocument/2006/relationships/image" Target="media/image153.png"/><Relationship Id="rId174" Type="http://schemas.openxmlformats.org/officeDocument/2006/relationships/image" Target="media/image154.png"/><Relationship Id="rId175" Type="http://schemas.openxmlformats.org/officeDocument/2006/relationships/image" Target="media/image155.png"/><Relationship Id="rId176" Type="http://schemas.openxmlformats.org/officeDocument/2006/relationships/image" Target="media/image156.png"/><Relationship Id="rId177" Type="http://schemas.openxmlformats.org/officeDocument/2006/relationships/image" Target="media/image157.png"/><Relationship Id="rId178" Type="http://schemas.openxmlformats.org/officeDocument/2006/relationships/image" Target="media/image158.png"/><Relationship Id="rId179" Type="http://schemas.openxmlformats.org/officeDocument/2006/relationships/image" Target="media/image159.png"/><Relationship Id="rId180" Type="http://schemas.openxmlformats.org/officeDocument/2006/relationships/image" Target="media/image160.png"/><Relationship Id="rId181" Type="http://schemas.openxmlformats.org/officeDocument/2006/relationships/image" Target="media/image161.png"/><Relationship Id="rId182" Type="http://schemas.openxmlformats.org/officeDocument/2006/relationships/image" Target="media/image162.png"/><Relationship Id="rId183" Type="http://schemas.openxmlformats.org/officeDocument/2006/relationships/image" Target="media/image163.png"/><Relationship Id="rId184" Type="http://schemas.openxmlformats.org/officeDocument/2006/relationships/image" Target="media/image164.png"/><Relationship Id="rId185" Type="http://schemas.openxmlformats.org/officeDocument/2006/relationships/image" Target="media/image165.png"/><Relationship Id="rId186" Type="http://schemas.openxmlformats.org/officeDocument/2006/relationships/image" Target="media/image166.png"/><Relationship Id="rId187" Type="http://schemas.openxmlformats.org/officeDocument/2006/relationships/image" Target="media/image167.png"/><Relationship Id="rId188" Type="http://schemas.openxmlformats.org/officeDocument/2006/relationships/image" Target="media/image168.png"/><Relationship Id="rId189" Type="http://schemas.openxmlformats.org/officeDocument/2006/relationships/image" Target="media/image169.png"/><Relationship Id="rId190" Type="http://schemas.openxmlformats.org/officeDocument/2006/relationships/image" Target="media/image170.png"/><Relationship Id="rId191" Type="http://schemas.openxmlformats.org/officeDocument/2006/relationships/image" Target="media/image171.png"/><Relationship Id="rId192" Type="http://schemas.openxmlformats.org/officeDocument/2006/relationships/image" Target="media/image172.png"/><Relationship Id="rId193" Type="http://schemas.openxmlformats.org/officeDocument/2006/relationships/image" Target="media/image173.png"/><Relationship Id="rId194" Type="http://schemas.openxmlformats.org/officeDocument/2006/relationships/image" Target="media/image174.png"/><Relationship Id="rId195" Type="http://schemas.openxmlformats.org/officeDocument/2006/relationships/image" Target="media/image175.png"/><Relationship Id="rId196" Type="http://schemas.openxmlformats.org/officeDocument/2006/relationships/image" Target="media/image176.png"/><Relationship Id="rId197" Type="http://schemas.openxmlformats.org/officeDocument/2006/relationships/image" Target="media/image177.png"/><Relationship Id="rId198" Type="http://schemas.openxmlformats.org/officeDocument/2006/relationships/image" Target="media/image178.png"/><Relationship Id="rId199" Type="http://schemas.openxmlformats.org/officeDocument/2006/relationships/image" Target="media/image179.png"/><Relationship Id="rId200" Type="http://schemas.openxmlformats.org/officeDocument/2006/relationships/image" Target="media/image180.png"/><Relationship Id="rId201" Type="http://schemas.openxmlformats.org/officeDocument/2006/relationships/image" Target="media/image181.png"/><Relationship Id="rId202" Type="http://schemas.openxmlformats.org/officeDocument/2006/relationships/image" Target="media/image182.png"/><Relationship Id="rId203" Type="http://schemas.openxmlformats.org/officeDocument/2006/relationships/image" Target="media/image183.png"/><Relationship Id="rId204" Type="http://schemas.openxmlformats.org/officeDocument/2006/relationships/image" Target="media/image184.png"/><Relationship Id="rId205" Type="http://schemas.openxmlformats.org/officeDocument/2006/relationships/image" Target="media/image185.png"/><Relationship Id="rId206" Type="http://schemas.openxmlformats.org/officeDocument/2006/relationships/image" Target="media/image186.png"/><Relationship Id="rId207" Type="http://schemas.openxmlformats.org/officeDocument/2006/relationships/image" Target="media/image187.png"/><Relationship Id="rId208" Type="http://schemas.openxmlformats.org/officeDocument/2006/relationships/image" Target="media/image188.png"/><Relationship Id="rId209" Type="http://schemas.openxmlformats.org/officeDocument/2006/relationships/image" Target="media/image189.png"/><Relationship Id="rId210" Type="http://schemas.openxmlformats.org/officeDocument/2006/relationships/image" Target="media/image190.png"/><Relationship Id="rId211" Type="http://schemas.openxmlformats.org/officeDocument/2006/relationships/image" Target="media/image191.png"/><Relationship Id="rId212" Type="http://schemas.openxmlformats.org/officeDocument/2006/relationships/image" Target="media/image192.png"/><Relationship Id="rId213" Type="http://schemas.openxmlformats.org/officeDocument/2006/relationships/image" Target="media/image193.png"/><Relationship Id="rId214" Type="http://schemas.openxmlformats.org/officeDocument/2006/relationships/image" Target="media/image194.png"/><Relationship Id="rId215" Type="http://schemas.openxmlformats.org/officeDocument/2006/relationships/image" Target="media/image195.png"/><Relationship Id="rId216" Type="http://schemas.openxmlformats.org/officeDocument/2006/relationships/image" Target="media/image196.png"/><Relationship Id="rId217" Type="http://schemas.openxmlformats.org/officeDocument/2006/relationships/image" Target="media/image197.png"/><Relationship Id="rId218" Type="http://schemas.openxmlformats.org/officeDocument/2006/relationships/image" Target="media/image198.png"/><Relationship Id="rId219" Type="http://schemas.openxmlformats.org/officeDocument/2006/relationships/image" Target="media/image199.png"/><Relationship Id="rId220" Type="http://schemas.openxmlformats.org/officeDocument/2006/relationships/image" Target="media/image200.png"/><Relationship Id="rId221" Type="http://schemas.openxmlformats.org/officeDocument/2006/relationships/image" Target="media/image201.png"/><Relationship Id="rId222" Type="http://schemas.openxmlformats.org/officeDocument/2006/relationships/image" Target="media/image202.jpeg"/><Relationship Id="rId223" Type="http://schemas.openxmlformats.org/officeDocument/2006/relationships/image" Target="media/image203.jpeg"/><Relationship Id="rId224" Type="http://schemas.openxmlformats.org/officeDocument/2006/relationships/image" Target="media/image204.png"/><Relationship Id="rId225" Type="http://schemas.openxmlformats.org/officeDocument/2006/relationships/image" Target="media/image205.png"/><Relationship Id="rId226" Type="http://schemas.openxmlformats.org/officeDocument/2006/relationships/image" Target="media/image206.png"/><Relationship Id="rId227" Type="http://schemas.openxmlformats.org/officeDocument/2006/relationships/image" Target="media/image207.png"/><Relationship Id="rId228" Type="http://schemas.openxmlformats.org/officeDocument/2006/relationships/image" Target="media/image208.png"/><Relationship Id="rId229" Type="http://schemas.openxmlformats.org/officeDocument/2006/relationships/image" Target="media/image209.png"/><Relationship Id="rId230" Type="http://schemas.openxmlformats.org/officeDocument/2006/relationships/image" Target="media/image210.png"/><Relationship Id="rId231" Type="http://schemas.openxmlformats.org/officeDocument/2006/relationships/image" Target="media/image211.png"/><Relationship Id="rId232" Type="http://schemas.openxmlformats.org/officeDocument/2006/relationships/image" Target="media/image212.png"/><Relationship Id="rId233" Type="http://schemas.openxmlformats.org/officeDocument/2006/relationships/image" Target="media/image213.png"/><Relationship Id="rId234" Type="http://schemas.openxmlformats.org/officeDocument/2006/relationships/image" Target="media/image214.png"/><Relationship Id="rId235" Type="http://schemas.openxmlformats.org/officeDocument/2006/relationships/image" Target="media/image215.png"/><Relationship Id="rId236" Type="http://schemas.openxmlformats.org/officeDocument/2006/relationships/image" Target="media/image216.png"/><Relationship Id="rId237" Type="http://schemas.openxmlformats.org/officeDocument/2006/relationships/image" Target="media/image217.png"/><Relationship Id="rId238" Type="http://schemas.openxmlformats.org/officeDocument/2006/relationships/image" Target="media/image218.png"/><Relationship Id="rId239" Type="http://schemas.openxmlformats.org/officeDocument/2006/relationships/image" Target="media/image219.png"/><Relationship Id="rId240" Type="http://schemas.openxmlformats.org/officeDocument/2006/relationships/image" Target="media/image220.png"/><Relationship Id="rId241" Type="http://schemas.openxmlformats.org/officeDocument/2006/relationships/image" Target="media/image221.png"/><Relationship Id="rId242" Type="http://schemas.openxmlformats.org/officeDocument/2006/relationships/image" Target="media/image222.png"/><Relationship Id="rId243" Type="http://schemas.openxmlformats.org/officeDocument/2006/relationships/image" Target="media/image223.png"/><Relationship Id="rId244" Type="http://schemas.openxmlformats.org/officeDocument/2006/relationships/image" Target="media/image224.png"/><Relationship Id="rId52" Type="http://schemas.openxmlformats.org/officeDocument/2006/relationships/hyperlink" Target="https://www.sec.gov/ix?doc=/Archives/edgar/data/1479419/000110465926043782/kala-20251231x10k.htm" TargetMode="External"/><Relationship Id="rId53" Type="http://schemas.openxmlformats.org/officeDocument/2006/relationships/hyperlink" Target="https://www.sec.gov/ix?doc=/Archives/edgar/data/1479419/000182912626000023/kalabio_8k.htm" TargetMode="External"/><Relationship Id="rId54" Type="http://schemas.openxmlformats.org/officeDocument/2006/relationships/hyperlink" Target="https://www.sec.gov/ix?doc=/Archives/edgar/data/1479419/000182912626000055/kalabio_8k.htm" TargetMode="External"/><Relationship Id="rId55" Type="http://schemas.openxmlformats.org/officeDocument/2006/relationships/hyperlink" Target="https://www.sec.gov/ix?doc=/Archives/edgar/data/1479419/000182912626000110/kalabio_8k.htm" TargetMode="External"/><Relationship Id="rId56" Type="http://schemas.openxmlformats.org/officeDocument/2006/relationships/hyperlink" Target="https://www.sec.gov/ix?doc=/Archives/edgar/data/1479419/000182912626000502/kalabio_8k.htm" TargetMode="External"/><Relationship Id="rId57" Type="http://schemas.openxmlformats.org/officeDocument/2006/relationships/hyperlink" Target="https://www.sec.gov/ix?doc=/Archives/edgar/data/1479419/000182912626000837/kalabio_8k.htm" TargetMode="External"/><Relationship Id="rId58" Type="http://schemas.openxmlformats.org/officeDocument/2006/relationships/hyperlink" Target="https://www.sec.gov/ix?doc=/Archives/edgar/data/1479419/000182912626000995/kalabio_8k.htm" TargetMode="External"/><Relationship Id="rId59" Type="http://schemas.openxmlformats.org/officeDocument/2006/relationships/hyperlink" Target="https://www.sec.gov/ix?doc=/Archives/edgar/data/1479419/000182912626001534/kalabio_8k.htm" TargetMode="External"/><Relationship Id="rId60" Type="http://schemas.openxmlformats.org/officeDocument/2006/relationships/hyperlink" Target="https://www.sec.gov/ix?doc=/Archives/edgar/data/1479419/000182912626001911/kalabio_8k.htm" TargetMode="External"/><Relationship Id="rId61" Type="http://schemas.openxmlformats.org/officeDocument/2006/relationships/hyperlink" Target="https://www.sec.gov/ix?doc=/Archives/edgar/data/1479419/000182912626004744/kalabio_8k.htm" TargetMode="External"/><Relationship Id="rId74" Type="http://schemas.openxmlformats.org/officeDocument/2006/relationships/hyperlink" Target="https://www.sec.gov/Archives/edgar/data/1479419/000155837023002746/kala-20221231xex4d1.htm" TargetMode="External"/><Relationship Id="rId75" Type="http://schemas.openxmlformats.org/officeDocument/2006/relationships/hyperlink" Target="https://www.sec.gov/Archives/edgar/data/1479419/000182912625009432/kalabio_ex4-1.htm" TargetMode="External"/><Relationship Id="rId76" Type="http://schemas.openxmlformats.org/officeDocument/2006/relationships/hyperlink" Target="https://www.sec.gov/Archives/edgar/data/1479419/000182912625009747/kalabio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2026-05-07T16:28:50Z</dcterms:created>
  <dcterms:modified xsi:type="dcterms:W3CDTF">2026-05-07T16:28:50Z</dcterms:modified>
</cp:coreProperties>
</file>