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KALA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E. LAZAR</w:t>
              <w:br/>
              <w:t>44, Tower 100, The Towers, Winston Churchill San Francisco</w:t>
              <w:br/>
              <w:t>Paitilla, Panama City, R1, 07196</w:t>
              <w:br/>
              <w:t>646-768-8417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8"/>
        <w:gridCol w:w="8067"/>
      </w:tblGrid>
      <w:tr>
        <w:trPr/>
        <w:tc>
          <w:tcPr>
            <w:tcW w:w="2138" w:type="dxa"/>
            <w:tcBorders/>
            <w:vAlign w:val="center"/>
          </w:tcPr>
          <w:p>
            <w:pPr>
              <w:pStyle w:val="TableContents"/>
              <w:bidi w:val="0"/>
              <w:spacing w:before="0" w:after="283"/>
              <w:jc w:val="left"/>
              <w:rPr/>
            </w:pPr>
            <w:r>
              <w:rPr/>
              <w:t>1</w:t>
            </w:r>
          </w:p>
        </w:tc>
        <w:tc>
          <w:tcPr>
            <w:tcW w:w="806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Lazar David E.</w:t>
            </w:r>
          </w:p>
        </w:tc>
      </w:tr>
      <w:tr>
        <w:trPr/>
        <w:tc>
          <w:tcPr>
            <w:tcW w:w="2138" w:type="dxa"/>
            <w:tcBorders/>
            <w:vAlign w:val="center"/>
          </w:tcPr>
          <w:p>
            <w:pPr>
              <w:pStyle w:val="TableContents"/>
              <w:bidi w:val="0"/>
              <w:spacing w:before="0" w:after="283"/>
              <w:jc w:val="left"/>
              <w:rPr/>
            </w:pPr>
            <w:r>
              <w:rPr/>
              <w:t>2</w:t>
            </w:r>
          </w:p>
        </w:tc>
        <w:tc>
          <w:tcPr>
            <w:tcW w:w="80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8" w:type="dxa"/>
            <w:tcBorders/>
            <w:vAlign w:val="center"/>
          </w:tcPr>
          <w:p>
            <w:pPr>
              <w:pStyle w:val="TableContents"/>
              <w:bidi w:val="0"/>
              <w:spacing w:before="0" w:after="283"/>
              <w:jc w:val="left"/>
              <w:rPr/>
            </w:pPr>
            <w:r>
              <w:rPr/>
              <w:t>3</w:t>
            </w:r>
          </w:p>
        </w:tc>
        <w:tc>
          <w:tcPr>
            <w:tcW w:w="8067" w:type="dxa"/>
            <w:tcBorders/>
            <w:vAlign w:val="center"/>
          </w:tcPr>
          <w:p>
            <w:pPr>
              <w:pStyle w:val="TableContents"/>
              <w:bidi w:val="0"/>
              <w:spacing w:before="0" w:after="283"/>
              <w:jc w:val="left"/>
              <w:rPr/>
            </w:pPr>
            <w:r>
              <w:rPr/>
              <w:t>SEC use only</w:t>
            </w:r>
          </w:p>
        </w:tc>
      </w:tr>
      <w:tr>
        <w:trPr/>
        <w:tc>
          <w:tcPr>
            <w:tcW w:w="2138" w:type="dxa"/>
            <w:tcBorders/>
            <w:vAlign w:val="center"/>
          </w:tcPr>
          <w:p>
            <w:pPr>
              <w:pStyle w:val="TableContents"/>
              <w:bidi w:val="0"/>
              <w:spacing w:before="0" w:after="283"/>
              <w:jc w:val="left"/>
              <w:rPr/>
            </w:pPr>
            <w:r>
              <w:rPr/>
              <w:t>4</w:t>
            </w:r>
          </w:p>
        </w:tc>
        <w:tc>
          <w:tcPr>
            <w:tcW w:w="806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8" w:type="dxa"/>
            <w:tcBorders/>
            <w:vAlign w:val="center"/>
          </w:tcPr>
          <w:p>
            <w:pPr>
              <w:pStyle w:val="TableContents"/>
              <w:bidi w:val="0"/>
              <w:spacing w:before="0" w:after="283"/>
              <w:jc w:val="left"/>
              <w:rPr/>
            </w:pPr>
            <w:r>
              <w:rPr/>
              <w:t>5</w:t>
            </w:r>
          </w:p>
        </w:tc>
        <w:tc>
          <w:tcPr>
            <w:tcW w:w="806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8" w:type="dxa"/>
            <w:tcBorders/>
            <w:vAlign w:val="center"/>
          </w:tcPr>
          <w:p>
            <w:pPr>
              <w:pStyle w:val="TableContents"/>
              <w:bidi w:val="0"/>
              <w:spacing w:before="0" w:after="283"/>
              <w:jc w:val="left"/>
              <w:rPr/>
            </w:pPr>
            <w:r>
              <w:rPr/>
              <w:t>6</w:t>
            </w:r>
          </w:p>
        </w:tc>
        <w:tc>
          <w:tcPr>
            <w:tcW w:w="80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PORTUGAL </w:t>
            </w:r>
          </w:p>
        </w:tc>
      </w:tr>
      <w:tr>
        <w:trPr/>
        <w:tc>
          <w:tcPr>
            <w:tcW w:w="213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719,404.00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719,404.00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67" w:type="dxa"/>
            <w:tcBorders/>
            <w:vAlign w:val="center"/>
          </w:tcPr>
          <w:p>
            <w:pPr>
              <w:pStyle w:val="TableContents"/>
              <w:bidi w:val="0"/>
              <w:spacing w:before="0" w:after="283"/>
              <w:jc w:val="left"/>
              <w:rPr>
                <w:sz w:val="4"/>
                <w:szCs w:val="4"/>
              </w:rPr>
            </w:pPr>
            <w:r>
              <w:rPr>
                <w:sz w:val="4"/>
                <w:szCs w:val="4"/>
              </w:rPr>
            </w:r>
          </w:p>
        </w:tc>
      </w:tr>
      <w:tr>
        <w:trPr/>
        <w:tc>
          <w:tcPr>
            <w:tcW w:w="2138" w:type="dxa"/>
            <w:tcBorders/>
            <w:vAlign w:val="center"/>
          </w:tcPr>
          <w:p>
            <w:pPr>
              <w:pStyle w:val="TableContents"/>
              <w:bidi w:val="0"/>
              <w:spacing w:before="0" w:after="283"/>
              <w:jc w:val="left"/>
              <w:rPr/>
            </w:pPr>
            <w:r>
              <w:rPr/>
              <w:t>11</w:t>
            </w:r>
          </w:p>
        </w:tc>
        <w:tc>
          <w:tcPr>
            <w:tcW w:w="80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719,404.00</w:t>
            </w:r>
          </w:p>
        </w:tc>
      </w:tr>
      <w:tr>
        <w:trPr/>
        <w:tc>
          <w:tcPr>
            <w:tcW w:w="2138" w:type="dxa"/>
            <w:tcBorders/>
            <w:vAlign w:val="center"/>
          </w:tcPr>
          <w:p>
            <w:pPr>
              <w:pStyle w:val="TableContents"/>
              <w:bidi w:val="0"/>
              <w:spacing w:before="0" w:after="283"/>
              <w:jc w:val="left"/>
              <w:rPr/>
            </w:pPr>
            <w:r>
              <w:rPr/>
              <w:t>12</w:t>
            </w:r>
          </w:p>
        </w:tc>
        <w:tc>
          <w:tcPr>
            <w:tcW w:w="806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8" w:type="dxa"/>
            <w:tcBorders/>
            <w:vAlign w:val="center"/>
          </w:tcPr>
          <w:p>
            <w:pPr>
              <w:pStyle w:val="TableContents"/>
              <w:bidi w:val="0"/>
              <w:spacing w:before="0" w:after="283"/>
              <w:jc w:val="left"/>
              <w:rPr/>
            </w:pPr>
            <w:r>
              <w:rPr/>
              <w:t>13</w:t>
            </w:r>
          </w:p>
        </w:tc>
        <w:tc>
          <w:tcPr>
            <w:tcW w:w="806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3.9 % </w:t>
            </w:r>
          </w:p>
        </w:tc>
      </w:tr>
      <w:tr>
        <w:trPr/>
        <w:tc>
          <w:tcPr>
            <w:tcW w:w="2138" w:type="dxa"/>
            <w:tcBorders/>
            <w:vAlign w:val="center"/>
          </w:tcPr>
          <w:p>
            <w:pPr>
              <w:pStyle w:val="TableContents"/>
              <w:bidi w:val="0"/>
              <w:spacing w:before="0" w:after="283"/>
              <w:jc w:val="left"/>
              <w:rPr/>
            </w:pPr>
            <w:r>
              <w:rPr/>
              <w:t>14</w:t>
            </w:r>
          </w:p>
        </w:tc>
        <w:tc>
          <w:tcPr>
            <w:tcW w:w="80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13"/>
        <w:gridCol w:w="9092"/>
      </w:tblGrid>
      <w:tr>
        <w:trPr/>
        <w:tc>
          <w:tcPr>
            <w:tcW w:w="1113" w:type="dxa"/>
            <w:tcBorders/>
            <w:vAlign w:val="center"/>
          </w:tcPr>
          <w:p>
            <w:pPr>
              <w:pStyle w:val="TableContents"/>
              <w:bidi w:val="0"/>
              <w:spacing w:before="0" w:after="283"/>
              <w:jc w:val="left"/>
              <w:rPr/>
            </w:pPr>
            <w:r>
              <w:rPr/>
              <w:t>Item 1.</w:t>
            </w:r>
          </w:p>
        </w:tc>
        <w:tc>
          <w:tcPr>
            <w:tcW w:w="9092" w:type="dxa"/>
            <w:tcBorders/>
            <w:vAlign w:val="center"/>
          </w:tcPr>
          <w:p>
            <w:pPr>
              <w:pStyle w:val="TableContents"/>
              <w:bidi w:val="0"/>
              <w:spacing w:before="0" w:after="283"/>
              <w:jc w:val="left"/>
              <w:rPr/>
            </w:pPr>
            <w:r>
              <w:rPr/>
              <w:t>Security and Issuer</w:t>
            </w:r>
          </w:p>
        </w:tc>
      </w:tr>
      <w:tr>
        <w:trPr/>
        <w:tc>
          <w:tcPr>
            <w:tcW w:w="1113" w:type="dxa"/>
            <w:tcBorders/>
            <w:vAlign w:val="center"/>
          </w:tcPr>
          <w:p>
            <w:pPr>
              <w:pStyle w:val="TableContents"/>
              <w:bidi w:val="0"/>
              <w:spacing w:before="0" w:after="283"/>
              <w:jc w:val="left"/>
              <w:rPr/>
            </w:pPr>
            <w:r>
              <w:rPr/>
              <w:t>(a)</w:t>
            </w:r>
          </w:p>
        </w:tc>
        <w:tc>
          <w:tcPr>
            <w:tcW w:w="90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r>
      <w:tr>
        <w:trPr/>
        <w:tc>
          <w:tcPr>
            <w:tcW w:w="1113" w:type="dxa"/>
            <w:tcBorders/>
            <w:vAlign w:val="center"/>
          </w:tcPr>
          <w:p>
            <w:pPr>
              <w:pStyle w:val="TableContents"/>
              <w:bidi w:val="0"/>
              <w:spacing w:before="0" w:after="283"/>
              <w:jc w:val="left"/>
              <w:rPr/>
            </w:pPr>
            <w:r>
              <w:rPr/>
              <w:t>(b)</w:t>
            </w:r>
          </w:p>
        </w:tc>
        <w:tc>
          <w:tcPr>
            <w:tcW w:w="9092" w:type="dxa"/>
            <w:tcBorders/>
            <w:vAlign w:val="center"/>
          </w:tcPr>
          <w:p>
            <w:pPr>
              <w:pStyle w:val="TableContents"/>
              <w:bidi w:val="0"/>
              <w:jc w:val="left"/>
              <w:rPr/>
            </w:pPr>
            <w:r>
              <w:rPr/>
              <w:t xml:space="preserve">Name of Issuer: </w:t>
            </w:r>
          </w:p>
          <w:p>
            <w:pPr>
              <w:pStyle w:val="TableContents"/>
              <w:bidi w:val="0"/>
              <w:spacing w:before="0" w:after="0"/>
              <w:jc w:val="left"/>
              <w:rPr/>
            </w:pPr>
            <w:r>
              <w:rPr/>
              <w:t>KALA BIO, Inc.</w:t>
            </w:r>
          </w:p>
        </w:tc>
      </w:tr>
      <w:tr>
        <w:trPr/>
        <w:tc>
          <w:tcPr>
            <w:tcW w:w="1113" w:type="dxa"/>
            <w:tcBorders/>
            <w:vAlign w:val="center"/>
          </w:tcPr>
          <w:p>
            <w:pPr>
              <w:pStyle w:val="TableContents"/>
              <w:bidi w:val="0"/>
              <w:spacing w:before="0" w:after="283"/>
              <w:jc w:val="left"/>
              <w:rPr/>
            </w:pPr>
            <w:r>
              <w:rPr/>
              <w:t>(c)</w:t>
            </w:r>
          </w:p>
        </w:tc>
        <w:tc>
          <w:tcPr>
            <w:tcW w:w="90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1167 Massachusetts Avenue, Arlington, MASSACHUSETTS , 02476.</w:t>
            </w:r>
          </w:p>
        </w:tc>
      </w:tr>
      <w:tr>
        <w:trPr/>
        <w:tc>
          <w:tcPr>
            <w:tcW w:w="1113" w:type="dxa"/>
            <w:tcBorders/>
            <w:vAlign w:val="center"/>
          </w:tcPr>
          <w:p>
            <w:pPr>
              <w:pStyle w:val="TableContents"/>
              <w:bidi w:val="0"/>
              <w:spacing w:before="0" w:after="283"/>
              <w:jc w:val="left"/>
              <w:rPr/>
            </w:pPr>
            <w:r>
              <w:rPr/>
              <w:t>Item 3.</w:t>
            </w:r>
          </w:p>
        </w:tc>
        <w:tc>
          <w:tcPr>
            <w:tcW w:w="9092" w:type="dxa"/>
            <w:tcBorders/>
            <w:vAlign w:val="center"/>
          </w:tcPr>
          <w:p>
            <w:pPr>
              <w:pStyle w:val="TableContents"/>
              <w:bidi w:val="0"/>
              <w:spacing w:before="0" w:after="283"/>
              <w:jc w:val="left"/>
              <w:rPr/>
            </w:pPr>
            <w:r>
              <w:rPr/>
              <w:t>Source and Amount of Funds or Other Consideration</w:t>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spacing w:before="0" w:after="0"/>
              <w:jc w:val="left"/>
              <w:rPr/>
            </w:pPr>
            <w:r>
              <w:rPr/>
              <w:t>Item 3 is hereby amended to add the following: The aggregate purchase price of the 719,404 Shares beneficially owned by the Reporting Person, which consists of Conversion Shares received by the Reporting Person upon the conversion of the Series AA Preferred Stock purchased by the Reporting Person pursuant to the SPA, is $1,308,007.</w:t>
            </w:r>
          </w:p>
        </w:tc>
      </w:tr>
      <w:tr>
        <w:trPr/>
        <w:tc>
          <w:tcPr>
            <w:tcW w:w="1113" w:type="dxa"/>
            <w:tcBorders/>
            <w:vAlign w:val="center"/>
          </w:tcPr>
          <w:p>
            <w:pPr>
              <w:pStyle w:val="TableContents"/>
              <w:bidi w:val="0"/>
              <w:spacing w:before="0" w:after="283"/>
              <w:jc w:val="left"/>
              <w:rPr/>
            </w:pPr>
            <w:r>
              <w:rPr/>
              <w:t>Item 5.</w:t>
            </w:r>
          </w:p>
        </w:tc>
        <w:tc>
          <w:tcPr>
            <w:tcW w:w="9092" w:type="dxa"/>
            <w:tcBorders/>
            <w:vAlign w:val="center"/>
          </w:tcPr>
          <w:p>
            <w:pPr>
              <w:pStyle w:val="TableContents"/>
              <w:bidi w:val="0"/>
              <w:spacing w:before="0" w:after="283"/>
              <w:jc w:val="left"/>
              <w:rPr/>
            </w:pPr>
            <w:r>
              <w:rPr/>
              <w:t>Interest in Securities of the Issuer</w:t>
            </w:r>
          </w:p>
        </w:tc>
      </w:tr>
      <w:tr>
        <w:trPr/>
        <w:tc>
          <w:tcPr>
            <w:tcW w:w="1113" w:type="dxa"/>
            <w:tcBorders/>
            <w:vAlign w:val="center"/>
          </w:tcPr>
          <w:p>
            <w:pPr>
              <w:pStyle w:val="TableContents"/>
              <w:bidi w:val="0"/>
              <w:spacing w:before="0" w:after="283"/>
              <w:jc w:val="left"/>
              <w:rPr/>
            </w:pPr>
            <w:r>
              <w:rPr/>
              <w:t>(a)</w:t>
            </w:r>
          </w:p>
        </w:tc>
        <w:tc>
          <w:tcPr>
            <w:tcW w:w="9092" w:type="dxa"/>
            <w:tcBorders/>
            <w:vAlign w:val="center"/>
          </w:tcPr>
          <w:p>
            <w:pPr>
              <w:pStyle w:val="TableContents"/>
              <w:bidi w:val="0"/>
              <w:spacing w:before="0" w:after="0"/>
              <w:jc w:val="left"/>
              <w:rPr/>
            </w:pPr>
            <w:r>
              <w:rPr/>
              <w:t>Item 5(a) is hereby amended and restated as follows: The aggregate percentage of Shares beneficially owned by the Reporting Person is based upon 18,589,787 Shares outstanding as of June 9, 2026, as reported in the Form S-3/A filed by the Issuer on June 12, 2026. As of the close of business on the date hereof, the Reporting Person beneficially owned 719,404 Shares. Percentage: 3.9%</w:t>
            </w:r>
          </w:p>
        </w:tc>
      </w:tr>
      <w:tr>
        <w:trPr/>
        <w:tc>
          <w:tcPr>
            <w:tcW w:w="1113" w:type="dxa"/>
            <w:tcBorders/>
            <w:vAlign w:val="center"/>
          </w:tcPr>
          <w:p>
            <w:pPr>
              <w:pStyle w:val="TableContents"/>
              <w:bidi w:val="0"/>
              <w:spacing w:before="0" w:after="283"/>
              <w:jc w:val="left"/>
              <w:rPr/>
            </w:pPr>
            <w:r>
              <w:rPr/>
              <w:t>(b)</w:t>
            </w:r>
          </w:p>
        </w:tc>
        <w:tc>
          <w:tcPr>
            <w:tcW w:w="9092" w:type="dxa"/>
            <w:tcBorders/>
            <w:vAlign w:val="center"/>
          </w:tcPr>
          <w:p>
            <w:pPr>
              <w:pStyle w:val="TableContents"/>
              <w:bidi w:val="0"/>
              <w:spacing w:before="0" w:after="0"/>
              <w:jc w:val="left"/>
              <w:rPr/>
            </w:pPr>
            <w:r>
              <w:rPr/>
              <w:t>Item 5(b) is hereby amended and restated as follows: 1. Sole power to vote or direct vote: 719,404 2. Shared power to vote or direct vote: 0 3. Sole power to dispose or direct the disposition: 719,404 4. Shared power to dispose or direct the disposition: 0</w:t>
            </w:r>
          </w:p>
        </w:tc>
      </w:tr>
      <w:tr>
        <w:trPr/>
        <w:tc>
          <w:tcPr>
            <w:tcW w:w="1113" w:type="dxa"/>
            <w:tcBorders/>
            <w:vAlign w:val="center"/>
          </w:tcPr>
          <w:p>
            <w:pPr>
              <w:pStyle w:val="TableContents"/>
              <w:bidi w:val="0"/>
              <w:spacing w:before="0" w:after="283"/>
              <w:jc w:val="left"/>
              <w:rPr/>
            </w:pPr>
            <w:r>
              <w:rPr/>
              <w:t>(c)</w:t>
            </w:r>
          </w:p>
        </w:tc>
        <w:tc>
          <w:tcPr>
            <w:tcW w:w="9092" w:type="dxa"/>
            <w:tcBorders/>
            <w:vAlign w:val="center"/>
          </w:tcPr>
          <w:p>
            <w:pPr>
              <w:pStyle w:val="TableContents"/>
              <w:bidi w:val="0"/>
              <w:spacing w:before="0" w:after="0"/>
              <w:jc w:val="left"/>
              <w:rPr/>
            </w:pPr>
            <w:r>
              <w:rPr/>
              <w:t>Item 5(c) is hereby amended to add the following: The transactions in the Shares by the Reporting Person during the past sixty days are set forth in Exhibit 1 and are incorporated herein by reference.</w:t>
            </w:r>
          </w:p>
        </w:tc>
      </w:tr>
      <w:tr>
        <w:trPr/>
        <w:tc>
          <w:tcPr>
            <w:tcW w:w="1113" w:type="dxa"/>
            <w:tcBorders/>
            <w:vAlign w:val="center"/>
          </w:tcPr>
          <w:p>
            <w:pPr>
              <w:pStyle w:val="TableContents"/>
              <w:bidi w:val="0"/>
              <w:spacing w:before="0" w:after="283"/>
              <w:jc w:val="left"/>
              <w:rPr/>
            </w:pPr>
            <w:r>
              <w:rPr/>
              <w:t>(e)</w:t>
            </w:r>
          </w:p>
        </w:tc>
        <w:tc>
          <w:tcPr>
            <w:tcW w:w="9092" w:type="dxa"/>
            <w:tcBorders/>
            <w:vAlign w:val="center"/>
          </w:tcPr>
          <w:p>
            <w:pPr>
              <w:pStyle w:val="TableContents"/>
              <w:bidi w:val="0"/>
              <w:spacing w:before="0" w:after="0"/>
              <w:jc w:val="left"/>
              <w:rPr/>
            </w:pPr>
            <w:r>
              <w:rPr/>
              <w:t>As of the close of business on April 24, 2026, the Reporting Person ceased to be the beneficial owner of more than 5% of the outstanding Shares.</w:t>
            </w:r>
          </w:p>
        </w:tc>
      </w:tr>
      <w:tr>
        <w:trPr/>
        <w:tc>
          <w:tcPr>
            <w:tcW w:w="1113" w:type="dxa"/>
            <w:tcBorders/>
            <w:vAlign w:val="center"/>
          </w:tcPr>
          <w:p>
            <w:pPr>
              <w:pStyle w:val="TableContents"/>
              <w:bidi w:val="0"/>
              <w:spacing w:before="0" w:after="283"/>
              <w:jc w:val="left"/>
              <w:rPr/>
            </w:pPr>
            <w:r>
              <w:rPr/>
              <w:t>Item 7.</w:t>
            </w:r>
          </w:p>
        </w:tc>
        <w:tc>
          <w:tcPr>
            <w:tcW w:w="9092" w:type="dxa"/>
            <w:tcBorders/>
            <w:vAlign w:val="center"/>
          </w:tcPr>
          <w:p>
            <w:pPr>
              <w:pStyle w:val="TableContents"/>
              <w:bidi w:val="0"/>
              <w:spacing w:before="0" w:after="283"/>
              <w:jc w:val="left"/>
              <w:rPr/>
            </w:pPr>
            <w:r>
              <w:rPr/>
              <w:t>Material to be Filed as Exhibits.</w:t>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spacing w:before="0" w:after="0"/>
              <w:jc w:val="left"/>
              <w:rPr/>
            </w:pPr>
            <w:r>
              <w:rPr/>
              <w:t>Item 7 is hereby amended to add the following exhibit: 1 Transactions in Securities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Lazar David E.</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9"/>
        <w:gridCol w:w="4486"/>
      </w:tblGrid>
      <w:tr>
        <w:trPr/>
        <w:tc>
          <w:tcPr>
            <w:tcW w:w="57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David E. Lazar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David E. Lazar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bookmarkStart w:id="14" w:name="kalabio_ex1.htm"/>
      <w:bookmarkStart w:id="15" w:name="kskalabio_ex1"/>
      <w:bookmarkEnd w:id="14"/>
      <w:bookmarkEnd w:id="1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During the Past 60 Days</w:t>
      </w:r>
      <w:r>
        <w:rPr>
          <w:rFonts w:ascii="Times New Roman;Times;Serif" w:hAnsi="Times New Roman;Times;Serif"/>
          <w:b/>
          <w:i w:val="false"/>
          <w:caps w:val="false"/>
          <w:smallCaps w:val="false"/>
          <w:position w:val="7"/>
          <w:sz w:val="16"/>
          <w:sz w:val="20"/>
          <w:u w:val="single"/>
        </w:rPr>
        <w:t>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David E. Lazar</w:t>
      </w:r>
    </w:p>
    <w:p>
      <w:pPr>
        <w:pStyle w:val="TextBody"/>
        <w:bidi w:val="0"/>
        <w:jc w:val="left"/>
        <w:rPr>
          <w:caps w:val="false"/>
          <w:smallCaps w:val="false"/>
        </w:rPr>
      </w:pPr>
      <w:r>
        <w:rPr>
          <w:caps w:val="false"/>
          <w:smallCaps w:val="false"/>
        </w:rPr>
        <w:t> </w:t>
      </w:r>
    </w:p>
    <w:tbl>
      <w:tblPr>
        <w:tblW w:w="6365" w:type="dxa"/>
        <w:jc w:val="left"/>
        <w:tblInd w:w="0" w:type="dxa"/>
        <w:tblLayout w:type="fixed"/>
        <w:tblCellMar>
          <w:top w:w="0" w:type="dxa"/>
          <w:left w:w="0" w:type="dxa"/>
          <w:bottom w:w="28" w:type="dxa"/>
          <w:right w:w="0" w:type="dxa"/>
        </w:tblCellMar>
      </w:tblPr>
      <w:tblGrid>
        <w:gridCol w:w="2240"/>
        <w:gridCol w:w="180"/>
        <w:gridCol w:w="1730"/>
        <w:gridCol w:w="180"/>
        <w:gridCol w:w="695"/>
        <w:gridCol w:w="180"/>
        <w:gridCol w:w="1160"/>
      </w:tblGrid>
      <w:tr>
        <w:trPr/>
        <w:tc>
          <w:tcPr>
            <w:tcW w:w="22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of the Transaction</w:t>
            </w:r>
          </w:p>
        </w:tc>
        <w:tc>
          <w:tcPr>
            <w:tcW w:w="180" w:type="dxa"/>
            <w:tcBorders/>
            <w:tcMar>
              <w:bottom w:w="0" w:type="dxa"/>
            </w:tcMar>
            <w:vAlign w:val="center"/>
          </w:tcPr>
          <w:p>
            <w:pPr>
              <w:pStyle w:val="TableContents"/>
              <w:bidi w:val="0"/>
              <w:spacing w:before="0" w:after="283"/>
              <w:jc w:val="left"/>
              <w:rPr/>
            </w:pPr>
            <w:r>
              <w:rPr/>
              <w:t>   </w:t>
            </w:r>
          </w:p>
        </w:tc>
        <w:tc>
          <w:tcPr>
            <w:tcW w:w="1730" w:type="dxa"/>
            <w:tcBorders>
              <w:bottom w:val="single" w:sz="8"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Purchased/(Sold)</w:t>
            </w:r>
          </w:p>
        </w:tc>
        <w:tc>
          <w:tcPr>
            <w:tcW w:w="180" w:type="dxa"/>
            <w:tcBorders/>
            <w:tcMar>
              <w:bottom w:w="0" w:type="dxa"/>
            </w:tcMar>
            <w:vAlign w:val="center"/>
          </w:tcPr>
          <w:p>
            <w:pPr>
              <w:pStyle w:val="TableContents"/>
              <w:bidi w:val="0"/>
              <w:spacing w:before="0" w:after="283"/>
              <w:jc w:val="left"/>
              <w:rPr/>
            </w:pPr>
            <w:r>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w:t>
            </w:r>
          </w:p>
        </w:tc>
        <w:tc>
          <w:tcPr>
            <w:tcW w:w="180" w:type="dxa"/>
            <w:tcBorders/>
            <w:tcMar>
              <w:bottom w:w="0"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Purchase/Sale</w:t>
            </w:r>
          </w:p>
        </w:tc>
      </w:tr>
      <w:tr>
        <w:trPr/>
        <w:tc>
          <w:tcPr>
            <w:tcW w:w="2240" w:type="dxa"/>
            <w:tcBorders/>
            <w:shd w:fill="CCEEFF" w:val="clear"/>
            <w:tcMar>
              <w:bottom w:w="0" w:type="dxa"/>
            </w:tcMar>
            <w:vAlign w:val="center"/>
          </w:tcPr>
          <w:p>
            <w:pPr>
              <w:pStyle w:val="TableContents"/>
              <w:bidi w:val="0"/>
              <w:spacing w:before="0" w:after="283"/>
              <w:jc w:val="center"/>
              <w:rPr/>
            </w:pPr>
            <w:r>
              <w:rPr/>
              <w:t>Sale of Common Stock</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center"/>
              <w:rPr/>
            </w:pPr>
            <w:r>
              <w:rPr/>
              <w:t xml:space="preserve">(7,142)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pPr>
            <w:r>
              <w:rPr/>
              <w:t>5.5550</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05/04/2026</w:t>
            </w:r>
          </w:p>
        </w:tc>
      </w:tr>
      <w:tr>
        <w:trPr/>
        <w:tc>
          <w:tcPr>
            <w:tcW w:w="2240" w:type="dxa"/>
            <w:tcBorders/>
            <w:shd w:fill="FFFFFF" w:val="clear"/>
            <w:tcMar>
              <w:bottom w:w="0" w:type="dxa"/>
            </w:tcMar>
            <w:vAlign w:val="center"/>
          </w:tcPr>
          <w:p>
            <w:pPr>
              <w:pStyle w:val="TableContents"/>
              <w:bidi w:val="0"/>
              <w:spacing w:before="0" w:after="283"/>
              <w:jc w:val="center"/>
              <w:rPr/>
            </w:pPr>
            <w:r>
              <w:rPr/>
              <w:t>Sale of Common Stock</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730" w:type="dxa"/>
            <w:tcBorders/>
            <w:shd w:fill="FFFFFF" w:val="clear"/>
            <w:tcMar>
              <w:bottom w:w="0" w:type="dxa"/>
            </w:tcMar>
            <w:vAlign w:val="center"/>
          </w:tcPr>
          <w:p>
            <w:pPr>
              <w:pStyle w:val="TableContents"/>
              <w:bidi w:val="0"/>
              <w:spacing w:before="0" w:after="283"/>
              <w:jc w:val="center"/>
              <w:rPr/>
            </w:pPr>
            <w:r>
              <w:rPr/>
              <w:t>(8,000)</w:t>
            </w:r>
          </w:p>
        </w:tc>
        <w:tc>
          <w:tcPr>
            <w:tcW w:w="18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center"/>
              <w:rPr/>
            </w:pPr>
            <w:r>
              <w:rPr/>
              <w:t>5.6100</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pPr>
            <w:r>
              <w:rPr/>
              <w:t>05/05/2026</w:t>
            </w:r>
          </w:p>
        </w:tc>
      </w:tr>
      <w:tr>
        <w:trPr/>
        <w:tc>
          <w:tcPr>
            <w:tcW w:w="2240" w:type="dxa"/>
            <w:tcBorders/>
            <w:shd w:fill="CCEEFF" w:val="clear"/>
            <w:tcMar>
              <w:bottom w:w="0" w:type="dxa"/>
            </w:tcMar>
            <w:vAlign w:val="center"/>
          </w:tcPr>
          <w:p>
            <w:pPr>
              <w:pStyle w:val="TableContents"/>
              <w:bidi w:val="0"/>
              <w:spacing w:before="0" w:after="283"/>
              <w:jc w:val="center"/>
              <w:rPr/>
            </w:pPr>
            <w:r>
              <w:rPr/>
              <w:t>Sale of Common Stock</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center"/>
              <w:rPr/>
            </w:pPr>
            <w:r>
              <w:rPr/>
              <w:t>(15,000)</w:t>
            </w:r>
          </w:p>
        </w:tc>
        <w:tc>
          <w:tcPr>
            <w:tcW w:w="18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pPr>
            <w:r>
              <w:rPr/>
              <w:t>2.6361</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05/19/2026</w:t>
            </w:r>
          </w:p>
        </w:tc>
      </w:tr>
      <w:tr>
        <w:trPr/>
        <w:tc>
          <w:tcPr>
            <w:tcW w:w="2240" w:type="dxa"/>
            <w:tcBorders/>
            <w:shd w:fill="FFFFFF" w:val="clear"/>
            <w:tcMar>
              <w:bottom w:w="0" w:type="dxa"/>
            </w:tcMar>
            <w:vAlign w:val="center"/>
          </w:tcPr>
          <w:p>
            <w:pPr>
              <w:pStyle w:val="TableContents"/>
              <w:bidi w:val="0"/>
              <w:spacing w:before="0" w:after="283"/>
              <w:jc w:val="center"/>
              <w:rPr/>
            </w:pPr>
            <w:r>
              <w:rPr/>
              <w:t>Sale of Common Stock</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730" w:type="dxa"/>
            <w:tcBorders/>
            <w:shd w:fill="FFFFFF" w:val="clear"/>
            <w:tcMar>
              <w:bottom w:w="0" w:type="dxa"/>
            </w:tcMar>
            <w:vAlign w:val="center"/>
          </w:tcPr>
          <w:p>
            <w:pPr>
              <w:pStyle w:val="TableContents"/>
              <w:bidi w:val="0"/>
              <w:spacing w:before="0" w:after="283"/>
              <w:jc w:val="center"/>
              <w:rPr/>
            </w:pPr>
            <w:r>
              <w:rPr/>
              <w:t>(22,500)</w:t>
            </w:r>
          </w:p>
        </w:tc>
        <w:tc>
          <w:tcPr>
            <w:tcW w:w="18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center"/>
              <w:rPr/>
            </w:pPr>
            <w:r>
              <w:rPr/>
              <w:t>2.6724</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pPr>
            <w:r>
              <w:rPr/>
              <w:t>05/20/2026</w:t>
            </w:r>
          </w:p>
        </w:tc>
      </w:tr>
      <w:tr>
        <w:trPr/>
        <w:tc>
          <w:tcPr>
            <w:tcW w:w="2240" w:type="dxa"/>
            <w:tcBorders/>
            <w:shd w:fill="CCEEFF" w:val="clear"/>
            <w:tcMar>
              <w:bottom w:w="0" w:type="dxa"/>
            </w:tcMar>
            <w:vAlign w:val="center"/>
          </w:tcPr>
          <w:p>
            <w:pPr>
              <w:pStyle w:val="TableContents"/>
              <w:bidi w:val="0"/>
              <w:spacing w:before="0" w:after="283"/>
              <w:jc w:val="center"/>
              <w:rPr/>
            </w:pPr>
            <w:r>
              <w:rPr/>
              <w:t>Sale of Common Stock</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center"/>
              <w:rPr/>
            </w:pPr>
            <w:r>
              <w:rPr/>
              <w:t>(14,287)</w:t>
            </w:r>
          </w:p>
        </w:tc>
        <w:tc>
          <w:tcPr>
            <w:tcW w:w="18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pPr>
            <w:r>
              <w:rPr/>
              <w:t>2.5955</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05/21/2026</w:t>
            </w:r>
          </w:p>
        </w:tc>
      </w:tr>
      <w:tr>
        <w:trPr/>
        <w:tc>
          <w:tcPr>
            <w:tcW w:w="2240" w:type="dxa"/>
            <w:tcBorders/>
            <w:shd w:fill="FFFFFF" w:val="clear"/>
            <w:tcMar>
              <w:bottom w:w="0" w:type="dxa"/>
            </w:tcMar>
            <w:vAlign w:val="center"/>
          </w:tcPr>
          <w:p>
            <w:pPr>
              <w:pStyle w:val="TableContents"/>
              <w:bidi w:val="0"/>
              <w:spacing w:before="0" w:after="283"/>
              <w:jc w:val="center"/>
              <w:rPr/>
            </w:pPr>
            <w:r>
              <w:rPr/>
              <w:t>Sale of Common Stock</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730" w:type="dxa"/>
            <w:tcBorders/>
            <w:shd w:fill="FFFFFF" w:val="clear"/>
            <w:tcMar>
              <w:bottom w:w="0" w:type="dxa"/>
            </w:tcMar>
            <w:vAlign w:val="center"/>
          </w:tcPr>
          <w:p>
            <w:pPr>
              <w:pStyle w:val="TableContents"/>
              <w:bidi w:val="0"/>
              <w:spacing w:before="0" w:after="283"/>
              <w:jc w:val="center"/>
              <w:rPr/>
            </w:pPr>
            <w:r>
              <w:rPr/>
              <w:t>(7,218)</w:t>
            </w:r>
          </w:p>
        </w:tc>
        <w:tc>
          <w:tcPr>
            <w:tcW w:w="18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center"/>
              <w:rPr/>
            </w:pPr>
            <w:r>
              <w:rPr/>
              <w:t>2.2019</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pPr>
            <w:r>
              <w:rPr/>
              <w:t>05/26/2026</w:t>
            </w:r>
          </w:p>
        </w:tc>
      </w:tr>
      <w:tr>
        <w:trPr/>
        <w:tc>
          <w:tcPr>
            <w:tcW w:w="2240" w:type="dxa"/>
            <w:tcBorders/>
            <w:shd w:fill="CCEEFF" w:val="clear"/>
            <w:tcMar>
              <w:bottom w:w="0" w:type="dxa"/>
            </w:tcMar>
            <w:vAlign w:val="center"/>
          </w:tcPr>
          <w:p>
            <w:pPr>
              <w:pStyle w:val="TableContents"/>
              <w:bidi w:val="0"/>
              <w:spacing w:before="0" w:after="283"/>
              <w:jc w:val="center"/>
              <w:rPr/>
            </w:pPr>
            <w:r>
              <w:rPr/>
              <w:t>Sale of Common Stock</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center"/>
              <w:rPr/>
            </w:pPr>
            <w:r>
              <w:rPr/>
              <w:t>(995)</w:t>
            </w:r>
          </w:p>
        </w:tc>
        <w:tc>
          <w:tcPr>
            <w:tcW w:w="18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pPr>
            <w:r>
              <w:rPr/>
              <w:t>2.1800</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05/27/2026</w:t>
            </w:r>
          </w:p>
        </w:tc>
      </w:tr>
      <w:tr>
        <w:trPr/>
        <w:tc>
          <w:tcPr>
            <w:tcW w:w="2240" w:type="dxa"/>
            <w:tcBorders/>
            <w:shd w:fill="FFFFFF" w:val="clear"/>
            <w:tcMar>
              <w:bottom w:w="0" w:type="dxa"/>
            </w:tcMar>
            <w:vAlign w:val="center"/>
          </w:tcPr>
          <w:p>
            <w:pPr>
              <w:pStyle w:val="TableContents"/>
              <w:bidi w:val="0"/>
              <w:spacing w:before="0" w:after="283"/>
              <w:jc w:val="center"/>
              <w:rPr/>
            </w:pPr>
            <w:r>
              <w:rPr/>
              <w:t>Sale of Common Stock</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730" w:type="dxa"/>
            <w:tcBorders/>
            <w:shd w:fill="FFFFFF" w:val="clear"/>
            <w:tcMar>
              <w:bottom w:w="0" w:type="dxa"/>
            </w:tcMar>
            <w:vAlign w:val="center"/>
          </w:tcPr>
          <w:p>
            <w:pPr>
              <w:pStyle w:val="TableContents"/>
              <w:bidi w:val="0"/>
              <w:spacing w:before="0" w:after="283"/>
              <w:jc w:val="center"/>
              <w:rPr/>
            </w:pPr>
            <w:r>
              <w:rPr/>
              <w:t>(30,595)</w:t>
            </w:r>
          </w:p>
        </w:tc>
        <w:tc>
          <w:tcPr>
            <w:tcW w:w="18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center"/>
              <w:rPr/>
            </w:pPr>
            <w:r>
              <w:rPr/>
              <w:t>2.1934</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pPr>
            <w:r>
              <w:rPr/>
              <w:t>06/29/2026</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All share numbers and prices have been adjusted for the 1-for-50 reverse stock split effected by the Issuer on May 8, 2026.</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3911</Characters>
  <CharactersWithSpaces>4636</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