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kalabio_8k.htm"/>
      <w:bookmarkStart w:id="1" w:name="kskalabio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B_edei--DocumentType_c20260507__20"/>
      <w:bookmarkEnd w:id="2"/>
      <w:r>
        <w:rPr>
          <w:rFonts w:ascii="Times New Roman;Times;Serif" w:hAnsi="Times New Roman;Times;Serif"/>
          <w:b/>
          <w:i w:val="false"/>
          <w:caps w:val="false"/>
          <w:smallCaps w:val="false"/>
          <w:sz w:val="28"/>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b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val="false"/>
          <w:i w:val="false"/>
          <w:caps w:val="false"/>
          <w:smallCaps w:val="false"/>
          <w:sz w:val="20"/>
        </w:rPr>
        <w:t>May 7,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7_edei--EntityRegistrantName_c2026"/>
      <w:bookmarkEnd w:id="4"/>
      <w:r>
        <w:rPr>
          <w:rFonts w:ascii="Times New Roman;Times;Serif" w:hAnsi="Times New Roman;Times;Serif"/>
          <w:b/>
          <w:i w:val="false"/>
          <w:caps w:val="false"/>
          <w:smallCaps w:val="false"/>
          <w:sz w:val="28"/>
          <w:u w:val="single"/>
        </w:rPr>
        <w:t>KALA BIO,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bookmarkStart w:id="5" w:name="xdx_906_edei--EntityIncorporationStateCo"/>
            <w:bookmarkEnd w:id="5"/>
            <w:r>
              <w:rPr>
                <w:rFonts w:ascii="Times New Roman;Times;Serif" w:hAnsi="Times New Roman;Times;Serif"/>
                <w:b w:val="false"/>
                <w:i w:val="false"/>
                <w:caps w:val="false"/>
                <w:smallCaps w:val="false"/>
                <w:sz w:val="20"/>
              </w:rPr>
              <w:t>Delaware</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6" w:name="xdx_901_edei--EntityFileNumber_c20260507"/>
            <w:bookmarkEnd w:id="6"/>
            <w:r>
              <w:rPr>
                <w:rFonts w:ascii="Times New Roman;Times;Serif" w:hAnsi="Times New Roman;Times;Serif"/>
                <w:b w:val="false"/>
                <w:i w:val="false"/>
                <w:caps w:val="false"/>
                <w:smallCaps w:val="false"/>
                <w:sz w:val="20"/>
              </w:rPr>
              <w:t>001-38150</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val="false"/>
                <w:i w:val="false"/>
                <w:caps w:val="false"/>
                <w:smallCaps w:val="false"/>
                <w:sz w:val="20"/>
              </w:rPr>
            </w:pPr>
            <w:bookmarkStart w:id="7" w:name="xdx_90C_edei--EntityTaxIdentificationNum"/>
            <w:bookmarkEnd w:id="7"/>
            <w:r>
              <w:rPr>
                <w:rFonts w:ascii="Times New Roman;Times;Serif" w:hAnsi="Times New Roman;Times;Serif"/>
                <w:b w:val="false"/>
                <w:i w:val="false"/>
                <w:caps w:val="false"/>
                <w:smallCaps w:val="false"/>
                <w:sz w:val="20"/>
              </w:rPr>
              <w:t>27-0604595</w:t>
            </w:r>
          </w:p>
        </w:tc>
      </w:tr>
      <w:tr>
        <w:trPr/>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br/>
              <w:t>of incorporation)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10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br/>
              <w:t>File Number)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8" w:space="0" w:color="000000"/>
            </w:tcBorders>
            <w:vAlign w:val="center"/>
          </w:tcPr>
          <w:p>
            <w:pPr>
              <w:pStyle w:val="TableContents"/>
              <w:bidi w:val="0"/>
              <w:jc w:val="center"/>
              <w:rPr>
                <w:b w:val="false"/>
                <w:i w:val="false"/>
                <w:caps w:val="false"/>
                <w:smallCaps w:val="false"/>
              </w:rPr>
            </w:pPr>
            <w:bookmarkStart w:id="8" w:name="xdx_901_edei--EntityAddressAddressLine1_"/>
            <w:bookmarkEnd w:id="8"/>
            <w:r>
              <w:rPr>
                <w:b w:val="false"/>
                <w:i w:val="false"/>
                <w:caps w:val="false"/>
                <w:smallCaps w:val="false"/>
              </w:rPr>
              <w:t>1167 Massachusetts Avenue</w:t>
            </w:r>
          </w:p>
          <w:p>
            <w:pPr>
              <w:pStyle w:val="TableContents"/>
              <w:bidi w:val="0"/>
              <w:spacing w:before="0" w:after="283"/>
              <w:jc w:val="center"/>
              <w:rPr/>
            </w:pPr>
            <w:bookmarkStart w:id="9" w:name="xdx_906_edei--EntityAddressCityOrTown_c2"/>
            <w:bookmarkEnd w:id="9"/>
            <w:r>
              <w:rPr>
                <w:b w:val="false"/>
                <w:i w:val="false"/>
                <w:caps w:val="false"/>
                <w:smallCaps w:val="false"/>
              </w:rPr>
              <w:t xml:space="preserve">Arlington, </w:t>
            </w:r>
            <w:bookmarkStart w:id="10" w:name="xdx_909_edei--EntityAddressStateOrProvin"/>
            <w:bookmarkEnd w:id="10"/>
            <w:r>
              <w:rPr>
                <w:b w:val="false"/>
                <w:i w:val="false"/>
                <w:caps w:val="false"/>
                <w:smallCaps w:val="false"/>
              </w:rPr>
              <w:t>MA</w:t>
            </w:r>
            <w:r>
              <w:rPr/>
              <w:t xml:space="preserv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085" w:type="dxa"/>
            <w:tcBorders>
              <w:bottom w:val="single" w:sz="8" w:space="0" w:color="000000"/>
            </w:tcBorders>
            <w:vAlign w:val="center"/>
          </w:tcPr>
          <w:p>
            <w:pPr>
              <w:pStyle w:val="TableContents"/>
              <w:bidi w:val="0"/>
              <w:spacing w:before="0" w:after="283"/>
              <w:jc w:val="center"/>
              <w:rPr>
                <w:b w:val="false"/>
                <w:i w:val="false"/>
                <w:caps w:val="false"/>
                <w:smallCaps w:val="false"/>
              </w:rPr>
            </w:pPr>
            <w:bookmarkStart w:id="11" w:name="xdx_906_edei--EntityAddressPostalZipCode"/>
            <w:bookmarkEnd w:id="11"/>
            <w:r>
              <w:rPr>
                <w:b w:val="false"/>
                <w:i w:val="false"/>
                <w:caps w:val="false"/>
                <w:smallCaps w:val="false"/>
              </w:rPr>
              <w:t>02476</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8_edei--CityAreaCode_c20260507__20"/>
      <w:bookmarkEnd w:id="12"/>
      <w:r>
        <w:rPr>
          <w:rFonts w:ascii="Times New Roman;Times;Serif" w:hAnsi="Times New Roman;Times;Serif"/>
          <w:b w:val="false"/>
          <w:i w:val="false"/>
          <w:caps w:val="false"/>
          <w:smallCaps w:val="false"/>
          <w:sz w:val="20"/>
        </w:rPr>
        <w:t xml:space="preserve">(781) </w:t>
      </w:r>
      <w:bookmarkStart w:id="13" w:name="xdx_907_edei--LocalPhoneNumber_c20260507"/>
      <w:bookmarkEnd w:id="13"/>
      <w:r>
        <w:rPr>
          <w:rFonts w:ascii="Times New Roman;Times;Serif" w:hAnsi="Times New Roman;Times;Serif"/>
          <w:b w:val="false"/>
          <w:i w:val="false"/>
          <w:caps w:val="false"/>
          <w:smallCaps w:val="false"/>
          <w:sz w:val="20"/>
        </w:rPr>
        <w:t>996-5252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ind w:left="0" w:right="0" w:hanging="0"/>
              <w:jc w:val="left"/>
              <w:rPr>
                <w:caps w:val="false"/>
                <w:smallCaps w:val="false"/>
              </w:rPr>
            </w:pPr>
            <w:bookmarkStart w:id="14" w:name="xdx_903_edei--WrittenCommunications_c202"/>
            <w:bookmarkEnd w:id="14"/>
            <w:r>
              <w:rPr>
                <w:caps w:val="false"/>
                <w:smallCaps w:val="false"/>
              </w:rPr>
              <w:t>☐</w:t>
            </w:r>
          </w:p>
        </w:tc>
        <w:tc>
          <w:tcPr>
            <w:tcW w:w="9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ind w:left="0" w:right="0" w:hanging="0"/>
              <w:jc w:val="left"/>
              <w:rPr>
                <w:caps w:val="false"/>
                <w:smallCaps w:val="false"/>
              </w:rPr>
            </w:pPr>
            <w:bookmarkStart w:id="15" w:name="xdx_901_edei--SolicitingMaterial_c202605"/>
            <w:bookmarkEnd w:id="15"/>
            <w:r>
              <w:rPr>
                <w:caps w:val="false"/>
                <w:smallCaps w:val="false"/>
              </w:rPr>
              <w:t>☐</w:t>
            </w:r>
          </w:p>
        </w:tc>
        <w:tc>
          <w:tcPr>
            <w:tcW w:w="9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ind w:left="0" w:right="0" w:hanging="0"/>
              <w:jc w:val="left"/>
              <w:rPr>
                <w:caps w:val="false"/>
                <w:smallCaps w:val="false"/>
              </w:rPr>
            </w:pPr>
            <w:bookmarkStart w:id="16" w:name="xdx_907_edei--PreCommencementTenderOffer"/>
            <w:bookmarkEnd w:id="16"/>
            <w:r>
              <w:rPr>
                <w:caps w:val="false"/>
                <w:smallCaps w:val="false"/>
              </w:rPr>
              <w:t>☐</w:t>
            </w:r>
          </w:p>
        </w:tc>
        <w:tc>
          <w:tcPr>
            <w:tcW w:w="9065"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065"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ind w:left="0" w:right="0" w:hanging="0"/>
              <w:jc w:val="left"/>
              <w:rPr>
                <w:caps w:val="false"/>
                <w:smallCaps w:val="false"/>
              </w:rPr>
            </w:pPr>
            <w:bookmarkStart w:id="17" w:name="xdx_906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760" w:type="dxa"/>
        <w:jc w:val="left"/>
        <w:tblInd w:w="0" w:type="dxa"/>
        <w:tblLayout w:type="fixed"/>
        <w:tblCellMar>
          <w:top w:w="0" w:type="dxa"/>
          <w:left w:w="0" w:type="dxa"/>
          <w:bottom w:w="28" w:type="dxa"/>
          <w:right w:w="0" w:type="dxa"/>
        </w:tblCellMar>
      </w:tblPr>
      <w:tblGrid>
        <w:gridCol w:w="3515"/>
        <w:gridCol w:w="60"/>
        <w:gridCol w:w="1415"/>
        <w:gridCol w:w="60"/>
        <w:gridCol w:w="3710"/>
      </w:tblGrid>
      <w:tr>
        <w:trPr/>
        <w:tc>
          <w:tcPr>
            <w:tcW w:w="3515"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4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3710" w:type="dxa"/>
            <w:tcBorders>
              <w:bottom w:val="single" w:sz="8" w:space="0" w:color="000000"/>
            </w:tcBorders>
            <w:vAlign w:val="center"/>
          </w:tcPr>
          <w:p>
            <w:pPr>
              <w:pStyle w:val="TableContents"/>
              <w:bidi w:val="0"/>
              <w:spacing w:before="0" w:after="283"/>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12bTitle_c20260507"/>
            <w:bookmarkEnd w:id="18"/>
            <w:r>
              <w:rPr>
                <w:rFonts w:ascii="Times New Roman;Times;Serif" w:hAnsi="Times New Roman;Times;Serif"/>
                <w:b w:val="false"/>
                <w:i w:val="false"/>
                <w:caps w:val="false"/>
                <w:smallCaps w:val="false"/>
                <w:sz w:val="20"/>
              </w:rPr>
              <w:t>Common Stock, par value $0.001 per share</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1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TradingSymbol_c20260507__2"/>
            <w:bookmarkEnd w:id="19"/>
            <w:r>
              <w:rPr>
                <w:rFonts w:ascii="Times New Roman;Times;Serif" w:hAnsi="Times New Roman;Times;Serif"/>
                <w:b w:val="false"/>
                <w:i w:val="false"/>
                <w:caps w:val="false"/>
                <w:smallCaps w:val="false"/>
                <w:sz w:val="20"/>
              </w:rPr>
              <w:t>KALA</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4_edei--SecurityExchangeName_c2026"/>
            <w:bookmarkEnd w:id="20"/>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3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860"/>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3.03.</w:t>
            </w:r>
          </w:p>
        </w:tc>
        <w:tc>
          <w:tcPr>
            <w:tcW w:w="444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Material Modification to Rights of Security Holders.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Item 3.03 of Form 8-K, the information contained in Item 5.03 of this report is incorporated herein by reference.</w:t>
      </w:r>
    </w:p>
    <w:p>
      <w:pPr>
        <w:pStyle w:val="TextBody"/>
        <w:bidi w:val="0"/>
        <w:spacing w:before="0" w:after="0"/>
        <w:jc w:val="both"/>
        <w:rPr>
          <w:caps w:val="false"/>
          <w:smallCaps w:val="false"/>
        </w:rPr>
      </w:pPr>
      <w:r>
        <w:rPr>
          <w:caps w:val="false"/>
          <w:smallCaps w:val="false"/>
        </w:rPr>
        <w:t> </w:t>
      </w:r>
    </w:p>
    <w:tbl>
      <w:tblPr>
        <w:tblW w:w="7323" w:type="dxa"/>
        <w:jc w:val="left"/>
        <w:tblInd w:w="0" w:type="dxa"/>
        <w:tblLayout w:type="fixed"/>
        <w:tblCellMar>
          <w:top w:w="0" w:type="dxa"/>
          <w:left w:w="0" w:type="dxa"/>
          <w:bottom w:w="0" w:type="dxa"/>
          <w:right w:w="0" w:type="dxa"/>
        </w:tblCellMar>
      </w:tblPr>
      <w:tblGrid>
        <w:gridCol w:w="38"/>
        <w:gridCol w:w="860"/>
        <w:gridCol w:w="6425"/>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5.03.</w:t>
            </w:r>
          </w:p>
        </w:tc>
        <w:tc>
          <w:tcPr>
            <w:tcW w:w="642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Amendments to Articles of Incorporation or Bylaws; Change in Fiscal Year.</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KALA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filed a Certificate of Amendment (the “</w:t>
      </w:r>
      <w:r>
        <w:rPr>
          <w:rFonts w:ascii="Times New Roman;Times;Serif" w:hAnsi="Times New Roman;Times;Serif"/>
          <w:b/>
          <w:i/>
          <w:caps w:val="false"/>
          <w:smallCaps w:val="false"/>
          <w:sz w:val="20"/>
        </w:rPr>
        <w:t>Certificate of Amendment</w:t>
      </w:r>
      <w:r>
        <w:rPr>
          <w:rFonts w:ascii="Times New Roman;Times;Serif" w:hAnsi="Times New Roman;Times;Serif"/>
          <w:b w:val="false"/>
          <w:i w:val="false"/>
          <w:caps w:val="false"/>
          <w:smallCaps w:val="false"/>
          <w:sz w:val="20"/>
        </w:rPr>
        <w:t>”) to the Company’s Restated Certificate of Incorporation (as amended,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 with the Secretary of State of Delaware to effect a 1-for-50 reverse stock split of the shares of the Company’s common stock, par value $0.001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either issued and outstanding or held by the Company as treasury stock, effective as of 4:05 p.m. (Delaware time) on May 8, 2026 (the “</w:t>
      </w:r>
      <w:r>
        <w:rPr>
          <w:rFonts w:ascii="Times New Roman;Times;Serif" w:hAnsi="Times New Roman;Times;Serif"/>
          <w:b/>
          <w:i/>
          <w:caps w:val="false"/>
          <w:smallCaps w:val="false"/>
          <w:sz w:val="20"/>
        </w:rPr>
        <w:t>Reverse Stock Split</w:t>
      </w:r>
      <w:r>
        <w:rPr>
          <w:rFonts w:ascii="Times New Roman;Times;Serif" w:hAnsi="Times New Roman;Times;Serif"/>
          <w:b w:val="false"/>
          <w:i w:val="false"/>
          <w:caps w:val="false"/>
          <w:smallCaps w:val="false"/>
          <w:sz w:val="20"/>
        </w:rPr>
        <w:t>”). As previously reported, the Company held its 2025 annual meeting of stockholders on January 30, 2026 (the “</w:t>
      </w:r>
      <w:r>
        <w:rPr>
          <w:rFonts w:ascii="Times New Roman;Times;Serif" w:hAnsi="Times New Roman;Times;Serif"/>
          <w:b/>
          <w:i/>
          <w:caps w:val="false"/>
          <w:smallCaps w:val="false"/>
          <w:sz w:val="20"/>
        </w:rPr>
        <w:t>Annual Meeting</w:t>
      </w:r>
      <w:r>
        <w:rPr>
          <w:rFonts w:ascii="Times New Roman;Times;Serif" w:hAnsi="Times New Roman;Times;Serif"/>
          <w:b w:val="false"/>
          <w:i w:val="false"/>
          <w:caps w:val="false"/>
          <w:smallCaps w:val="false"/>
          <w:sz w:val="20"/>
        </w:rPr>
        <w:t>”), at which Annual Meeting the Company’s stockholders approved the Certificate of Amendment to effect a reverse stock split of the Company’s Common Stock at a ratio in the range of 1-for-2 to 1-for-100, with such ratio to be determined by the Company’s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and included in a public announcement. The Board determined to effect the Reverse Stock Split at a ratio of 1-for-50 and approved the corresponding final form of the Certificate of Amendment.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every fifty (50) shares of issued and outstanding Common Stock will be automatically combined into one (1) issued and outstanding share of Common Stock, without any change in the par value per share. No fractional shares will be issued as a result of the Reverse Stock Split. Stockholders that would hold fractional shares as a result of the Reverse Stock Split are entitled to receive a cash payment in lieu of said fractional shares based on the closing price on the Nasdaq Capital Market on May 7, 2026. The Reverse Stock Split will reduce the number of shares of Common Stock outstanding from 929,491,578 shares to approximately 18,589,832 shares, subject to adjustment for the rounding up of fractional shares. The number of authorized shares of Common Stock under the Certificate of Incorporation will remain unchanged at 1,500,000,000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Proportionate adjustments will be made to the per share exercise price and the number of shares of Common Stock that may be purchased upon the exercise or conversion, as applicable, of outstanding equity awards under the Company’s 2009 Employee, Director and Consultant Equity Incentive Plan, Amended and Restated 2017 Equity Incentive Plan (the “2017 Equity Plan”) and the and Amended and Restated 2017 Employee Stock Purchase Plan (the “2017 Stock Plan”). The number of shares reserved for issuance under the 2017 Equity Plan and 2017 Stock Plan will be proportionately reduced in accordance with the terms of such plans.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will begin trading on a Reverse Stock Split-adjusted basis on the Nasdaq Capital Market on May 11, 2026. The trading symbol for the Common Stock will remain “KALA.” The new CUSIP number for the Common Stock following the Reverse Stock Split is 483119301.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about the Reverse Stock Split, see the Company’s definitive proxy statement filed with the U.S. Securities and Exchange Commission on December 30, 2026, the relevant portions of which are incorporated herein by reference. The information set forth herein is qualified in its entirety by reference to the complete text of the Certificate of Amendment, a copy of which is filed as Exhibit 3.1 to this Current Report on Form 8-K and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860"/>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2026, the Company issued a press release announcing the Reverse Stock Split. A copy of the press release is attached hereto as Exhibit 99.1 to this Current Report on Form 8-K and incorporated herein by reference.</w:t>
      </w:r>
    </w:p>
    <w:p>
      <w:pPr>
        <w:pStyle w:val="TextBody"/>
        <w:bidi w:val="0"/>
        <w:spacing w:before="0" w:after="0"/>
        <w:jc w:val="both"/>
        <w:rPr>
          <w:caps w:val="false"/>
          <w:smallCaps w:val="false"/>
        </w:rPr>
      </w:pPr>
      <w:r>
        <w:rPr>
          <w:caps w:val="false"/>
          <w:smallCaps w:val="false"/>
        </w:rPr>
        <w:t> </w:t>
      </w:r>
    </w:p>
    <w:tbl>
      <w:tblPr>
        <w:tblW w:w="3858" w:type="dxa"/>
        <w:jc w:val="left"/>
        <w:tblInd w:w="0" w:type="dxa"/>
        <w:tblLayout w:type="fixed"/>
        <w:tblCellMar>
          <w:top w:w="0" w:type="dxa"/>
          <w:left w:w="0" w:type="dxa"/>
          <w:bottom w:w="0" w:type="dxa"/>
          <w:right w:w="0" w:type="dxa"/>
        </w:tblCellMar>
      </w:tblPr>
      <w:tblGrid>
        <w:gridCol w:w="38"/>
        <w:gridCol w:w="860"/>
        <w:gridCol w:w="2960"/>
      </w:tblGrid>
      <w:tr>
        <w:trPr/>
        <w:tc>
          <w:tcPr>
            <w:tcW w:w="38"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6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jc w:val="both"/>
        <w:rPr>
          <w:caps w:val="false"/>
          <w:smallCaps w:val="false"/>
        </w:rPr>
      </w:pPr>
      <w:r>
        <w:rPr>
          <w:caps w:val="false"/>
          <w:smallCaps w:val="false"/>
        </w:rPr>
        <w:t> </w:t>
      </w:r>
    </w:p>
    <w:tbl>
      <w:tblPr>
        <w:tblW w:w="1053" w:type="dxa"/>
        <w:jc w:val="left"/>
        <w:tblInd w:w="0" w:type="dxa"/>
        <w:tblLayout w:type="fixed"/>
        <w:tblCellMar>
          <w:top w:w="0" w:type="dxa"/>
          <w:left w:w="0" w:type="dxa"/>
          <w:bottom w:w="0" w:type="dxa"/>
          <w:right w:w="0" w:type="dxa"/>
        </w:tblCellMar>
      </w:tblPr>
      <w:tblGrid>
        <w:gridCol w:w="38"/>
        <w:gridCol w:w="245"/>
        <w:gridCol w:w="77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7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Exhibits.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162"/>
        <w:gridCol w:w="60"/>
        <w:gridCol w:w="8983"/>
      </w:tblGrid>
      <w:tr>
        <w:trPr/>
        <w:tc>
          <w:tcPr>
            <w:tcW w:w="1162"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83"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1162" w:type="dxa"/>
            <w:tcBorders/>
            <w:shd w:fill="CCEEFF" w:val="clear"/>
            <w:tcMar>
              <w:bottom w:w="0" w:type="dxa"/>
            </w:tcMar>
            <w:vAlign w:val="center"/>
          </w:tcPr>
          <w:p>
            <w:pPr>
              <w:pStyle w:val="TableContents"/>
              <w:bidi w:val="0"/>
              <w:spacing w:before="0" w:after="283"/>
              <w:jc w:val="left"/>
              <w:rPr/>
            </w:pPr>
            <w:r>
              <w:rPr/>
              <w:t>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83" w:type="dxa"/>
            <w:tcBorders/>
            <w:shd w:fill="CCEEFF" w:val="clear"/>
            <w:tcMar>
              <w:bottom w:w="0" w:type="dxa"/>
            </w:tcMar>
            <w:vAlign w:val="center"/>
          </w:tcPr>
          <w:p>
            <w:pPr>
              <w:pStyle w:val="TableContents"/>
              <w:bidi w:val="0"/>
              <w:spacing w:before="0" w:after="283"/>
              <w:jc w:val="both"/>
              <w:rPr/>
            </w:pPr>
            <w:hyperlink w:anchor="kalabio_ex3-1.htm">
              <w:r>
                <w:rPr>
                  <w:rStyle w:val="InternetLink"/>
                </w:rPr>
                <w:t>Certificate of Amendment to the Restated Certificate of Incorporation, as amended, of KALA BIO, Inc.</w:t>
              </w:r>
            </w:hyperlink>
          </w:p>
        </w:tc>
      </w:tr>
      <w:tr>
        <w:trPr/>
        <w:tc>
          <w:tcPr>
            <w:tcW w:w="1162" w:type="dxa"/>
            <w:tcBorders/>
            <w:shd w:fill="FFFFFF" w:val="clear"/>
            <w:tcMar>
              <w:bottom w:w="0" w:type="dxa"/>
            </w:tcMar>
            <w:vAlign w:val="center"/>
          </w:tcPr>
          <w:p>
            <w:pPr>
              <w:pStyle w:val="TableContents"/>
              <w:bidi w:val="0"/>
              <w:spacing w:before="0" w:after="283"/>
              <w:jc w:val="left"/>
              <w:rPr/>
            </w:pPr>
            <w:r>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83" w:type="dxa"/>
            <w:tcBorders/>
            <w:shd w:fill="FFFFFF" w:val="clear"/>
            <w:tcMar>
              <w:bottom w:w="0" w:type="dxa"/>
            </w:tcMar>
            <w:vAlign w:val="center"/>
          </w:tcPr>
          <w:p>
            <w:pPr>
              <w:pStyle w:val="TableContents"/>
              <w:bidi w:val="0"/>
              <w:spacing w:before="0" w:after="283"/>
              <w:jc w:val="both"/>
              <w:rPr/>
            </w:pPr>
            <w:hyperlink w:anchor="kalabio_ex99-1.htm">
              <w:r>
                <w:rPr>
                  <w:rStyle w:val="InternetLink"/>
                </w:rPr>
                <w:t>Press Release, issued on May 7, 2026.</w:t>
              </w:r>
            </w:hyperlink>
          </w:p>
        </w:tc>
      </w:tr>
      <w:tr>
        <w:trPr/>
        <w:tc>
          <w:tcPr>
            <w:tcW w:w="1162" w:type="dxa"/>
            <w:tcBorders/>
            <w:shd w:fill="CCEEFF" w:val="clear"/>
            <w:tcMar>
              <w:bottom w:w="0" w:type="dxa"/>
            </w:tcMar>
            <w:vAlign w:val="center"/>
          </w:tcPr>
          <w:p>
            <w:pPr>
              <w:pStyle w:val="TableContents"/>
              <w:bidi w:val="0"/>
              <w:spacing w:before="0" w:after="283"/>
              <w:jc w:val="left"/>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83"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6" w:space="1" w:color="000000"/>
        </w:rPr>
      </w:pPr>
      <w:r>
        <w:rPr>
          <w:bdr w:val="single" w:sz="16"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050" w:type="dxa"/>
        <w:jc w:val="left"/>
        <w:tblInd w:w="0" w:type="dxa"/>
        <w:shd w:fill="FFFFFF" w:val="clear"/>
        <w:tblLayout w:type="fixed"/>
        <w:tblCellMar>
          <w:top w:w="0" w:type="dxa"/>
          <w:left w:w="0" w:type="dxa"/>
          <w:bottom w:w="0" w:type="dxa"/>
          <w:right w:w="0" w:type="dxa"/>
        </w:tblCellMar>
      </w:tblPr>
      <w:tblGrid>
        <w:gridCol w:w="1550"/>
        <w:gridCol w:w="545"/>
        <w:gridCol w:w="1955"/>
      </w:tblGrid>
      <w:tr>
        <w:trPr/>
        <w:tc>
          <w:tcPr>
            <w:tcW w:w="155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2500" w:type="dxa"/>
            <w:gridSpan w:val="2"/>
            <w:tcBorders/>
            <w:shd w:fill="FFFFFF" w:val="clear"/>
            <w:vAlign w:val="center"/>
          </w:tcPr>
          <w:p>
            <w:pPr>
              <w:pStyle w:val="TableContents"/>
              <w:bidi w:val="0"/>
              <w:spacing w:before="0" w:after="283"/>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KALA BIO, INC.</w:t>
            </w:r>
          </w:p>
        </w:tc>
      </w:tr>
      <w:tr>
        <w:trPr/>
        <w:tc>
          <w:tcPr>
            <w:tcW w:w="155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195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550"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7, 2026</w:t>
            </w:r>
          </w:p>
        </w:tc>
        <w:tc>
          <w:tcPr>
            <w:tcW w:w="54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Avi Minkowitz</w:t>
            </w:r>
          </w:p>
        </w:tc>
      </w:tr>
      <w:tr>
        <w:trPr/>
        <w:tc>
          <w:tcPr>
            <w:tcW w:w="155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 Minkowitz</w:t>
            </w:r>
          </w:p>
        </w:tc>
      </w:tr>
      <w:tr>
        <w:trPr/>
        <w:tc>
          <w:tcPr>
            <w:tcW w:w="1550"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545" w:type="dxa"/>
            <w:tcBorders/>
            <w:shd w:fill="FFFFFF" w:val="cle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6" w:space="1" w:color="000000"/>
        </w:rPr>
      </w:pPr>
      <w:r>
        <w:rPr>
          <w:bdr w:val="single" w:sz="16" w:space="1" w:color="000000"/>
        </w:rPr>
        <w:t>3</w:t>
      </w:r>
    </w:p>
    <w:p>
      <w:pPr>
        <w:pStyle w:val="TextBody"/>
        <w:bidi w:val="0"/>
        <w:jc w:val="left"/>
        <w:rPr>
          <w:caps w:val="false"/>
          <w:smallCaps w:val="false"/>
        </w:rPr>
      </w:pPr>
      <w:bookmarkStart w:id="22" w:name="kalabio_ex3-1.htm"/>
      <w:bookmarkStart w:id="23" w:name="kskalabio_ex31"/>
      <w:bookmarkEnd w:id="22"/>
      <w:bookmarkEnd w:id="23"/>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AMENDMENT TO</w:t>
        <w:br/>
        <w:t>THE RESTATED CERTIFICATE OF INCORPORATION OF</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KALA BIO, INC.</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242 of the General Corporation Law of the State of Delaware, Kala Bio, Inc., a corporation organized under and existing by virtue of the General Corporation Law of the State of Delaware (“DGCL”), DOES HEREBY CERTIFY:</w:t>
      </w:r>
    </w:p>
    <w:p>
      <w:pPr>
        <w:pStyle w:val="TextBody"/>
        <w:bidi w:val="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75"/>
        <w:gridCol w:w="170"/>
        <w:gridCol w:w="534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name of the corporation is Kala Bio, Inc. (the “Corporation”).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2"/>
        <w:gridCol w:w="9968"/>
      </w:tblGrid>
      <w:tr>
        <w:trPr/>
        <w:tc>
          <w:tcPr>
            <w:tcW w:w="75"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date of filing the original Certificate of Incorporation of this Corporation with the Secretary of State of the State of Delaware was July 7, 2009.</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Resolutions were duly adopted by the Board of Directors of the Corporation setting forth this proposed Amendment to the Certificate of Incorporation and declaring said amendment to be advisable and calling for the consideration and approval thereof at a meeting of the stockholders of the Corporation.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Resolutions were duly adopted by the Board of Directors of the Corporation, in accordance with the provisions of the Certificate of Incorporation set forth below, providing that, effective as of 4:05 p.m., New York time, on May 8, 2026, each fifty (50) issued and outstanding shares of the Corporation’s Common Stock, par value $0.001 per share, shall be converted into one (1) share of the Corporation’s Common Stock, par value $0.001 per share, as constituted following such date.</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4"/>
        <w:gridCol w:w="9966"/>
      </w:tblGrid>
      <w:tr>
        <w:trPr/>
        <w:tc>
          <w:tcPr>
            <w:tcW w:w="75"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6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Certificate of Incorporation is hereby amended by amending and restating paragraph A.5 of Article FOURTH in its entirety as follows:</w:t>
            </w:r>
          </w:p>
        </w:tc>
      </w:tr>
    </w:tbl>
    <w:p>
      <w:pPr>
        <w:pStyle w:val="TextBody"/>
        <w:bidi w:val="0"/>
        <w:jc w:val="left"/>
        <w:rPr>
          <w:caps w:val="false"/>
          <w:smallCaps w:val="false"/>
        </w:rPr>
      </w:pPr>
      <w:r>
        <w:rPr>
          <w:caps w:val="false"/>
          <w:smallCaps w:val="false"/>
        </w:rPr>
        <w:t> </w:t>
      </w:r>
    </w:p>
    <w:p>
      <w:pPr>
        <w:pStyle w:val="TextBody"/>
        <w:bidi w:val="0"/>
        <w:spacing w:before="0" w:after="0"/>
        <w:ind w:left="1440" w:right="144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5. Reverse Split. Upon the effectiveness of the filing of this Certificate of Amendment (the “Effective Time”) each share of the Corporation’s common stock, $0.001 par value per share (the “Old Common Stock”), either issued or outstanding or held by the Corporation as treasury stock, immediately prior to the Effective Time, will be automatically reclassified and combined (without any further act) into a smaller number of shares such that each fifty (50) shares of Old Common Stock issued and outstanding or held by the Company as treasury stock immediately prior to the Effective Time is reclassified into one share of Common Stock, $0.001 par value per share, of the Corporation (the “New Common Stock”), (the “Reverse Stock Split”). No fractional shares will be issued. Stockholders that would hold fractional shares as a result of the Reverse Stock Split are entitled to receive a cash payment in lieu of said fractional shares based on the closing price on the Nasdaq Capital Market on May 7, 2026. Any stock certificate that, immediately prior to the Effective Time, represented shares of the Old Common Stock will, from and after the Effective Time, automatically and without the necessity of presenting the same for exchange, represent the number of shares of the New Common Stock into which such shares of Old Common Stock shall have been reclassified minus the fraction, if any, of a share of New Common Stock issued as aforesaid.”</w:t>
      </w:r>
    </w:p>
    <w:p>
      <w:pPr>
        <w:pStyle w:val="TextBody"/>
        <w:bidi w:val="0"/>
        <w:jc w:val="left"/>
        <w:rPr>
          <w:caps w:val="false"/>
          <w:smallCaps w:val="false"/>
        </w:rPr>
      </w:pPr>
      <w:r>
        <w:rPr>
          <w:caps w:val="false"/>
          <w:smallCaps w:val="false"/>
        </w:rPr>
        <w:t> </w:t>
      </w:r>
    </w:p>
    <w:tbl>
      <w:tblPr>
        <w:tblW w:w="9085" w:type="dxa"/>
        <w:jc w:val="left"/>
        <w:tblInd w:w="0" w:type="dxa"/>
        <w:tblLayout w:type="fixed"/>
        <w:tblCellMar>
          <w:top w:w="0" w:type="dxa"/>
          <w:left w:w="0" w:type="dxa"/>
          <w:bottom w:w="0" w:type="dxa"/>
          <w:right w:w="0" w:type="dxa"/>
        </w:tblCellMar>
      </w:tblPr>
      <w:tblGrid>
        <w:gridCol w:w="75"/>
        <w:gridCol w:w="170"/>
        <w:gridCol w:w="88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88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foregoing amendment was effected pursuant to a resolution of the Board of Directors of said corporation.</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Thereafter, pursuant to a resolution by the Board of Directors, this Certificate of Amendment was submitted to the stockholders of the Corporation for their approval in accordance with the provisions of Section 242 of the DGCL. Accordingly, said proposed amendment has been adopted in accordance with Section 242 of the DGCL.</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Kala Bio, Inc. has caused this Certificate of Amendment to be duly executed by the undersigned duly authorized officer as of this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May, 2026.</w:t>
      </w:r>
    </w:p>
    <w:p>
      <w:pPr>
        <w:pStyle w:val="TextBody"/>
        <w:bidi w:val="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25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KALA BIO, INC.</w:t>
            </w:r>
          </w:p>
        </w:tc>
        <w:tc>
          <w:tcPr>
            <w:tcW w:w="75" w:type="dxa"/>
            <w:tcBorders/>
            <w:vAlign w:val="center"/>
          </w:tcPr>
          <w:p>
            <w:pPr>
              <w:pStyle w:val="TableContents"/>
              <w:bidi w:val="0"/>
              <w:spacing w:before="0" w:after="283"/>
              <w:jc w:val="left"/>
              <w:rPr/>
            </w:pPr>
            <w:r>
              <w:rPr/>
              <w:t> </w:t>
            </w:r>
          </w:p>
        </w:tc>
      </w:tr>
      <w:tr>
        <w:trPr/>
        <w:tc>
          <w:tcPr>
            <w:tcW w:w="25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Avi Minkowitz</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Avi Minkowitz</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Certificate of Amendment]</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jc w:val="left"/>
        <w:rPr>
          <w:caps w:val="false"/>
          <w:smallCaps w:val="false"/>
        </w:rPr>
      </w:pPr>
      <w:bookmarkStart w:id="24" w:name="kalabio_ex99-1.htm"/>
      <w:bookmarkStart w:id="25" w:name="kskalabio_ex991"/>
      <w:bookmarkEnd w:id="24"/>
      <w:bookmarkEnd w:id="25"/>
      <w:r>
        <w:rPr>
          <w:caps w:val="false"/>
          <w:smallCaps w:val="false"/>
        </w:rPr>
        <w:t> </w:t>
      </w:r>
      <w:r>
        <w:br w:type="page"/>
      </w:r>
    </w:p>
    <w:p>
      <w:pPr>
        <w:pStyle w:val="TextBody"/>
        <w:bidi w:val="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KALA BIO Announces Reverse Stock Split</w:t>
      </w:r>
    </w:p>
    <w:p>
      <w:pPr>
        <w:pStyle w:val="TextBody"/>
        <w:bidi w:val="0"/>
        <w:jc w:val="left"/>
        <w:rPr>
          <w:caps w:val="false"/>
          <w:smallCaps w:val="false"/>
        </w:rPr>
      </w:pPr>
      <w:r>
        <w:rPr>
          <w:caps w:val="false"/>
          <w:smallCaps w:val="false"/>
        </w:rPr>
        <w:t> </w:t>
      </w:r>
    </w:p>
    <w:p>
      <w:pPr>
        <w:pStyle w:val="TextBody"/>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 Will Begin Trading on Split-Adjusted Basis on May 11, 2026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Arlington, MA, May 7, 2026</w:t>
      </w:r>
      <w:r>
        <w:rPr>
          <w:rFonts w:ascii="Times New Roman;Times;Serif" w:hAnsi="Times New Roman;Times;Serif"/>
          <w:b w:val="false"/>
          <w:i w:val="false"/>
          <w:caps w:val="false"/>
          <w:smallCaps w:val="false"/>
          <w:sz w:val="20"/>
        </w:rPr>
        <w:t xml:space="preserve"> (GLOBE NEWSWIRE) — </w:t>
      </w:r>
      <w:r>
        <w:rPr>
          <w:rFonts w:ascii="Times New Roman;Times;Serif" w:hAnsi="Times New Roman;Times;Serif"/>
          <w:b/>
          <w:i w:val="false"/>
          <w:caps w:val="false"/>
          <w:smallCaps w:val="false"/>
          <w:sz w:val="20"/>
        </w:rPr>
        <w:t>KALA BIO</w:t>
      </w:r>
      <w:r>
        <w:rPr>
          <w:rFonts w:ascii="Times New Roman;Times;Serif" w:hAnsi="Times New Roman;Times;Serif"/>
          <w:b w:val="false"/>
          <w:i w:val="false"/>
          <w:caps w:val="false"/>
          <w:smallCaps w:val="false"/>
          <w:sz w:val="20"/>
        </w:rPr>
        <w:t>, Inc. (NASDAQ: KALA) (“KALA BIO” or the “Company”), today announced that it intends to effect a reverse stock split of its common stock, par value $0.001 per share (the “common stock”) at a ratio of 1 post-split share for every 50 pre-split shares. The reverse stock split will become effective at 4:05 p.m. on Friday, May 8, 2026. The Company’s common stock will continue to be traded on the Nasdaq Capital Market under the symbol KALA and will begin trading on a split-adjusted basis when the market opens on Monday, May 11, 2026. The new CUSIP number for the common stock following the reverse stock split is 483119301.</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special meeting of stockholders, as adjourned and held on January 30, 2026, the Company’s stockholders granted the Company’s Board of Directors the discretion to effect a reverse stock split of the Company’s common stock through an amendment to its Restated Certificate of Incorporation, as amended, at a ratio of not less than 1-for-2 and not more than 1-for-100, with such ratio to be determined by the Company’s Board of Directors.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effective time of the reverse stock split, every fifty (50) shares of the Company’s issued and outstanding common stock will be converted automatically into one issued and outstanding share of common stock without any change in the par value per share. Stockholders holding shares through a brokerage account will have their shares automatically adjusted to reflect the 1-for-50 reverse stock split. It is not necessary for stockholders holding shares of the Company’s common stock in certificated form to exchange their existing stock certificates for new stock certificates of the Company in connection with the reverse stock split, although stockholders may do so if they wish.</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affect all stockholders uniformly and will not alter any stockholder’s percentage interest in the Company’s equity, except to the extent that the reverse stock split would result in a stockholder owning a fractional share. No fractional shares will be issued. Stockholders that would hold fractional shares as a result of the Reverse Stock Split are entitled to receive a cash payment in lieu of said fractional shares based on the closing price on the Nasdaq Capital Market on May 7, 2026. The reverse stock split will reduce the number of shares of the Company’s common stock outstanding from 929,491,578 shares to approximately 18,589,832 shares. Proportional adjustments will be made to the number of shares of the Company’s common stock issuable upon exercise or conversion of the Company’s equity awards, warrants and other convertible securities, as well as the applicable exercise or conversion price thereof. Stockholders with shares in brokerage accounts should direct any questions concerning the reverse stock split to their broker; all other stockholders may direct questions to the Company’s transfer agent, Equiniti Trust Company, LLC, at (929) 469-2386.</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KALA BIO (NASDAQ: KALA)</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 is a clinical-stage biopharmaceutical company building a dedicated, on-premises AI infrastructure platform for the biotechnology industry. The Company’s dual strategy combines a proprietary biologics pipeline—including its mesenchymal stem cell secretome (MSC-S) platform and FDA Orphan Drug- and Fast Track-designated product candidates—with a scalable AI platform-as-a-service business designed to deploy secure, purpose-built AI solutions directly within biotech and pharmaceutical client environments.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exclusive worldwide license for the Researgency AI research platform from Younet, Kala intends to serve as the dedicated AI infrastructure partner for the biotechnology industry, enabling organizations of all sizes to unlock the value of their proprietary biological data without surrendering control. Kala is advancing an agentic transformation strategy for biomedical organizations through Researgency.ai, a platform designed to enable scalable, governed deployment of AI agents across research, documentation, and operational workflows. The Company’s focus on enterprise security, real-time performance, and seamless integration positions it at the forefront of innovation in the life sciences AI sector.</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Kala believes the future of biomedical innovation is in agentic systems. For more information, visit www.kalarx.com and </w:t>
      </w:r>
      <w:r>
        <w:rPr>
          <w:rFonts w:ascii="Times New Roman;Times;Serif" w:hAnsi="Times New Roman;Times;Serif"/>
          <w:b w:val="false"/>
          <w:i w:val="false"/>
          <w:caps w:val="false"/>
          <w:smallCaps w:val="false"/>
          <w:sz w:val="20"/>
          <w:u w:val="single"/>
        </w:rPr>
        <w:t>www.Researgency.ai</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p>
      <w:pPr>
        <w:pStyle w:val="TextBody"/>
        <w:bidi w:val="0"/>
        <w:spacing w:before="120" w:after="120"/>
        <w:jc w:val="center"/>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Such statements may be preceded by the words “intends,” “may,” “will,” “plans,” “expects,” “anticipates,” “projects,” “predicts,” “estimates,” “aims,” “believes,” “hopes,” “potential” or similar words. Forward-looking statements are not guarantees of future performance, are based on certain assumptions and are subject to various known and unknown risks and uncertainties, many of which are beyond the Company’s control, and cannot be predicted or quantified; consequently, actual results may differ materially from those expressed or implied by such forward-looking statements. Such risks and uncertainties include, without limitation, risks and uncertainties associated with: the effect that the reverse stock split may have on the price of the Company’s common stock; the Company’s ability to maintain its listing on the Nasdaq Capital Market; risks that AI technologies may not produce expected results in drug discovery or development; risks related to the development, deployment, and performance of the Researgency platform; risks that the Company may not successfully attract or retain external platform clients; risks that the platform-as-a-service business model may not generate anticipated revenues; risks that the Company’s product candidates may not be successfully developed or commercialized; risks related to the Company’s limited cash resources and ability to continue as a going concern; risks that the third-party information contained herein was not accurate at the time it was published and/or does not accurately predict the future; risks related to the Company’s ability to raise future capital and the possibility that market conditions may limit the Company’s ability to raise capital on favorable terms; risks related to the Company’s ability to regain compliance with Nasdaq listing requirements; competition from larger, better-resourced companies including major technology and pharmaceutical companies; dependence on key personnel and third-party technology providers; the accuracy of third-party market forecasts and projections cited herein; risks that the Company may elect not to expand or continue its deployment of the Researgency platform beyond the initial term; risks that Younet may not perform its obligations under the Agreement; and other risks detailed in the "Risk Factors" section of the Company’s Annual Report on Form 10-K as they may be revised in the Company’s Quarterly Reports on Form 10-Q and Current Reports on Form 8-K and other filings with the Securities and Exchange Commission. More detailed information about the Company and the risk factors that may affect the realization of forward-looking statements is set forth in the Company’s filings with the Securities and Exchange Commission (“SEC”), including the Company’s Annual Report on Form 10-K and its Quarterly Reports on Form 10-Q. Investors and security holders are urged to read these documents free of charge on the SEC’s web site at: http://www.sec.gov. The Company assumes no obligation to publicly update or revise its forward-looking statements as a result of new information, future events, or otherwise, except as required by law.</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Avi Minkowitz</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KALA BIO,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am@kalarx.com</w:t>
      </w: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www.kalarx.com</w:t>
      </w:r>
      <w:r>
        <w:rPr>
          <w:rFonts w:ascii="Times New Roman;Times;Serif" w:hAnsi="Times New Roman;Times;Serif"/>
          <w:b w:val="false"/>
          <w:i w:val="false"/>
          <w:caps w:val="false"/>
          <w:smallCaps w:val="false"/>
          <w:sz w:val="20"/>
        </w:rPr>
        <w:t> | </w:t>
      </w:r>
      <w:r>
        <w:rPr>
          <w:rFonts w:ascii="Times New Roman;Times;Serif" w:hAnsi="Times New Roman;Times;Serif"/>
          <w:b w:val="false"/>
          <w:i w:val="false"/>
          <w:caps w:val="false"/>
          <w:smallCaps w:val="false"/>
          <w:sz w:val="20"/>
          <w:u w:val="single"/>
        </w:rPr>
        <w:t>www.Researgency.ai</w:t>
      </w:r>
    </w:p>
    <w:p>
      <w:pPr>
        <w:pStyle w:val="TextBody"/>
        <w:bidi w:val="0"/>
        <w:jc w:val="left"/>
        <w:rPr>
          <w:caps w:val="false"/>
          <w:smallCaps w:val="false"/>
        </w:rPr>
      </w:pPr>
      <w:r>
        <w:rPr>
          <w:caps w:val="false"/>
          <w:smallCaps w:val="false"/>
        </w:rPr>
        <w:t> </w:t>
      </w:r>
    </w:p>
    <w:p>
      <w:pPr>
        <w:pStyle w:val="TextBody"/>
        <w:bidi w:val="0"/>
        <w:spacing w:before="0" w:after="0"/>
        <w:jc w:val="center"/>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2811</Words>
  <Characters>15327</Characters>
  <CharactersWithSpaces>18138</CharactersWithSpaces>
  <Paragraphs>252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