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3,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KALA BIO,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001-38150</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27-0604595</w:t>
            </w:r>
          </w:p>
        </w:tc>
      </w:tr>
      <w:tr>
        <w:trPr>
          <w:trHeight w:val="191"/>
        </w:trPr>
        <w:tc>
          <w:tcPr>
            <w:tcW w:w="2960" w:type="dxa"/>
            <w:vAlign w:val="bottom"/>
            <w:tcBorders>
              <w:top w:val="single" w:sz="8" w:color="auto"/>
            </w:tcBorders>
          </w:tcPr>
          <w:p>
            <w:pPr>
              <w:jc w:val="center"/>
              <w:ind w:left="53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tcPr>
          <w:p>
            <w:pPr>
              <w:jc w:val="center"/>
              <w:ind w:right="730"/>
              <w:spacing w:after="0" w:line="191"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File Number)</w:t>
            </w: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1167 Massachusetts Avenue</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Arlington, MA 02476</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(781) 996-5252</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KALA</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3, 2026 (the “Effective Date”), KALA BIO, Inc. (the “Company”) and 2624465 Ontario Inc. o/a Younet AI, an Ontario corporation (“Younet”) entered into a Platform Development and Exclusive License Agreement (the “Agreement”) pursuant to which the Company obtained a worldwide exclusive license (the “Exclusive License”) of Younet’s proprietary, custom biomedical artificial intelligence research platform (the “Researgency Platform”), together with associated trademarks and intellectual property. The term of the Agreement is for 12 months following the Effective Date (the “Initial Term”), with the option by the Company to renew the agreement for successive 12 months terms (each, a “Renewal Term”), in each case by providing notice to Younet pursuant to the terms of the Agreement (the “Extension Notice”). Pursuant to the Agreement, Younet shall also provide to the Company certain deliverables and services related to the Researgency Platform, with certain additional deliverables to be provided by Younet in the event of a Renewal Term, in each case with all operating costs relating to the Researgency Platform to be paid by the Company.</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consideration of the services to be performed by Younet under the Agreement, the Company has agreed to pay to Younet for the Initial Term a cash fee of up to $530,000 consisting of (i) $80,000 in cash, which was paid by the Company on the Effective Date, and (ii) in the event the Company delivers to Younet a written notice electing to engage Younet for the continued development of Researgency, $450,000 in cash, payable in 9 monthly installments of $50,000, pursuant to the terms of the Agreement. Such notice may be provided at any time on or after the first business day of the third month following the Effective Date and such continued development may be terminated upon 30 days notice by the Company. In addition, the Company has agreed to issue to Younet 5,000,000 shares of the Company’s common stock, par value $0.001 per share (the “Common Stock”), within 10 business days of the Effective Date. In addition, each time the Agreement is extended for a Renewal Term, the Company shall (i) pay to Younet $250,000 in cash and (ii) issue to Younet 5,000,000 shares of Common Stock within 10 business days of the Extension Notice. Any shares of Common Stock issuable to Younet pursuant to the Agreement shall herein be referred to as the “Younet Shares.” Except for certain block trades, during the Term (as defined in the Agreement) and for the twelve months thereafter, Younet shall not sell any Younet Shares on any Trading Day (as defined in the Agreement) in an amount that exceeds 3% of the Daily Trading Volume (as defined in the Agreement) for such Trading Day.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Younet has granted to the Company an irrevocable option, exercisable at any time during the Initial Term or any Renewal Terms, to acquire all of the issued and outstanding equity interests of Younet, or, at the Company’s election, substantially all of the assets of Younet, for a total purchase price of $55,000,000, subject to the terms of the Agreement.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does not deliver an Extension Notice prior to the expiration of the Initial Term or any Renewal Term, the Agreement shall expire automatically at the end of the applicable term. In addition, the Agreement may be terminated by either party (i) for uncured material breach or (ii) due to the insolvency of the other party. Upon termination or expiration, (a) the Exclusive License will terminated, (b) all licenses granted to Younet with respect to KALA Data (as defined in the Agreement) will immediately terminate, (c) all licenses granted to the Company with respect to Younet Background IP (as defined in the Agreement) will survive in accordance with their terms, and (d) all Work Product (as defined in the Agreement) completed as of the date of termination shall be delivered to and owned by the Company.</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License Agreement additionally includes customary representations and warranties, covenants, and indemnification obligations for a transaction of this nature.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of the Agreement does not purport to be complete and is qualified in its entirety by reference to the full text of the Agreement, which is filed as Exhibit 10.1 to this Current Report on Form 8-K and incorporated herein by reference.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matters described in Item 1.01 of this Current Report on Form 8-K with respect to the Younet Shares are incorporated herein by reference. In connection with the issuance of the Younet Shares as described in Item 1.01, the Company relied upon the exemption from registration provided by Section 4(a)(2) of the Securities Act of 1933, as amended (the “Securities Act”), and Regulation D promulgated thereunder for transactions not involving a public offering. This report shall not constitute an offer to sell or a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4, 2026, the Company issued a press release announcing its entry into the Agreement and other business updates. A copy of the press release is attached hereto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and Exhibit 99.1 shall not be deemed “filed” for purposes of the Securities Exchange Act of 1934, as amended, nor shall it be deemed incorporated by reference in any filing under the Securities Act of 1933, as amended, except as shall be expressly set forth by specific reference in such a filing.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10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0"/>
        </w:trPr>
        <w:tc>
          <w:tcPr>
            <w:tcW w:w="102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6"/>
                <w:szCs w:val="16"/>
                <w:color w:val="auto"/>
              </w:rPr>
            </w:pPr>
          </w:p>
        </w:tc>
        <w:tc>
          <w:tcPr>
            <w:tcW w:w="5780" w:type="dxa"/>
            <w:vAlign w:val="bottom"/>
            <w:tcBorders>
              <w:bottom w:val="single" w:sz="8" w:color="0000EE"/>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Platform Development and Exclusive License Agreement, dated March 3, 2026.</w:t>
            </w:r>
          </w:p>
        </w:tc>
        <w:tc>
          <w:tcPr>
            <w:tcW w:w="4320" w:type="dxa"/>
            <w:vAlign w:val="bottom"/>
            <w:tcBorders>
              <w:bottom w:val="single" w:sz="8" w:color="CCEEFF"/>
            </w:tcBorders>
            <w:shd w:val="clear" w:color="auto" w:fill="CCEEFF"/>
          </w:tcPr>
          <w:p>
            <w:pPr>
              <w:spacing w:after="0"/>
              <w:rPr>
                <w:sz w:val="16"/>
                <w:szCs w:val="16"/>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March 4, 2026.</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96"/>
        </w:trPr>
        <w:tc>
          <w:tcPr>
            <w:tcW w:w="102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gridSpan w:val="3"/>
          </w:tcPr>
          <w:p>
            <w:pPr>
              <w:jc w:val="right"/>
              <w:ind w:right="1240"/>
              <w:spacing w:after="0"/>
              <w:rPr>
                <w:sz w:val="20"/>
                <w:szCs w:val="20"/>
                <w:color w:val="auto"/>
              </w:rPr>
            </w:pPr>
            <w:r>
              <w:rPr>
                <w:rFonts w:ascii="Times New Roman" w:cs="Times New Roman" w:eastAsia="Times New Roman" w:hAnsi="Times New Roman"/>
                <w:sz w:val="22"/>
                <w:szCs w:val="22"/>
                <w:color w:val="auto"/>
              </w:rPr>
              <w:t>2</w:t>
            </w: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KALA BIO,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March 4, 2026</w:t>
            </w: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Avi Minkowitz</w:t>
            </w:r>
          </w:p>
        </w:tc>
      </w:tr>
      <w:tr>
        <w:trPr>
          <w:trHeight w:val="191"/>
        </w:trPr>
        <w:tc>
          <w:tcPr>
            <w:tcW w:w="33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Avi Minkowitz</w:t>
            </w:r>
          </w:p>
        </w:tc>
      </w:tr>
      <w:tr>
        <w:trPr>
          <w:trHeight w:val="234"/>
        </w:trPr>
        <w:tc>
          <w:tcPr>
            <w:tcW w:w="33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95"/>
        </w:trPr>
        <w:tc>
          <w:tcPr>
            <w:tcW w:w="33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22"/>
                <w:szCs w:val="22"/>
                <w:color w:val="auto"/>
              </w:rPr>
              <w:t>3</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PLATFORM DEVELOPMENT AND EXCLUSIVE LICENSE AGREEMENT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PLATFORM DEVELOPMENT AND EXCLUSIVE LICENSE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March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KALA BIO, Inc.</w:t>
      </w:r>
      <w:r>
        <w:rPr>
          <w:rFonts w:ascii="Times New Roman" w:cs="Times New Roman" w:eastAsia="Times New Roman" w:hAnsi="Times New Roman"/>
          <w:sz w:val="18"/>
          <w:szCs w:val="18"/>
          <w:color w:val="auto"/>
        </w:rPr>
        <w:t>, a Delaware corporation, with its principal office at 1167 Massachusetts Avenue, Arlington, MA 02476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KALA</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2624465 Ontario Inc. o/a Younet AI</w:t>
      </w:r>
      <w:r>
        <w:rPr>
          <w:rFonts w:ascii="Times New Roman" w:cs="Times New Roman" w:eastAsia="Times New Roman" w:hAnsi="Times New Roman"/>
          <w:sz w:val="18"/>
          <w:szCs w:val="18"/>
          <w:color w:val="auto"/>
        </w:rPr>
        <w:t>, an Ontario corporation, with its principal office at 7191 Yonge St., Suite 812, Thornhill, Ontario L3T 0C4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Developer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Younet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KALA and Younet is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left="660" w:hanging="652"/>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KALA is a clinical-stage biopharmaceutical company listed on the Nasdaq Stock Market (NASDAQ: KALA) with proprietary biological assets, including its mesenchymal stem cell secretome (MSC-S) platform and related intellectual property, and is pursuing a dual strategy combining its proprietary biologics pipeline with a scalable artificial intelligence platform-as-a-service business designed to deploy secure, purpose-built AI systems directly within biotech and pharmaceutical client environments;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Younet is a specialized artificial intelligence development firm with expertise in deploying custom large language models (“</w:t>
      </w:r>
      <w:r>
        <w:rPr>
          <w:rFonts w:ascii="Times New Roman" w:cs="Times New Roman" w:eastAsia="Times New Roman" w:hAnsi="Times New Roman"/>
          <w:sz w:val="18"/>
          <w:szCs w:val="18"/>
          <w:b w:val="1"/>
          <w:bCs w:val="1"/>
          <w:color w:val="auto"/>
        </w:rPr>
        <w:t>LLMs</w:t>
      </w:r>
      <w:r>
        <w:rPr>
          <w:rFonts w:ascii="Times New Roman" w:cs="Times New Roman" w:eastAsia="Times New Roman" w:hAnsi="Times New Roman"/>
          <w:sz w:val="18"/>
          <w:szCs w:val="18"/>
          <w:color w:val="auto"/>
        </w:rPr>
        <w:t>”), retrieval-augmented generation (“</w:t>
      </w:r>
      <w:r>
        <w:rPr>
          <w:rFonts w:ascii="Times New Roman" w:cs="Times New Roman" w:eastAsia="Times New Roman" w:hAnsi="Times New Roman"/>
          <w:sz w:val="18"/>
          <w:szCs w:val="18"/>
          <w:b w:val="1"/>
          <w:bCs w:val="1"/>
          <w:color w:val="auto"/>
        </w:rPr>
        <w:t>RAG</w:t>
      </w:r>
      <w:r>
        <w:rPr>
          <w:rFonts w:ascii="Times New Roman" w:cs="Times New Roman" w:eastAsia="Times New Roman" w:hAnsi="Times New Roman"/>
          <w:sz w:val="18"/>
          <w:szCs w:val="18"/>
          <w:color w:val="auto"/>
        </w:rPr>
        <w:t>”) pipelines, and scalable AI platforms, and has developed and deployed over 100 custom AI agents for enterprise clients;</w:t>
      </w:r>
    </w:p>
    <w:p>
      <w:pPr>
        <w:spacing w:after="0" w:line="170"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KALA desires to obtain a worldwide exclusive license of Younet’s proprietary, custom biomedical AI research platform (“</w:t>
      </w:r>
      <w:r>
        <w:rPr>
          <w:rFonts w:ascii="Times New Roman" w:cs="Times New Roman" w:eastAsia="Times New Roman" w:hAnsi="Times New Roman"/>
          <w:sz w:val="18"/>
          <w:szCs w:val="18"/>
          <w:b w:val="1"/>
          <w:bCs w:val="1"/>
          <w:color w:val="auto"/>
        </w:rPr>
        <w:t>Researgency</w:t>
      </w:r>
      <w:r>
        <w:rPr>
          <w:rFonts w:ascii="Times New Roman" w:cs="Times New Roman" w:eastAsia="Times New Roman" w:hAnsi="Times New Roman"/>
          <w:sz w:val="18"/>
          <w:szCs w:val="18"/>
          <w:color w:val="auto"/>
        </w:rPr>
        <w:t>”), together with associated trademarks and IP, to enhance KALA’s existing biologics research capabilities and accelerate insight generation from the Company’s proprietary scientific datasets, and to establish the foundation for deploying the Platform as on-premises, data-sovereign AI infrastructure to external biotech and pharmaceutical clients on a platform-as-a-service basis;</w:t>
      </w:r>
    </w:p>
    <w:p>
      <w:pPr>
        <w:spacing w:after="0" w:line="18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Younet has completed a feasibility study confirming the technical viability of adapting its Researgency architecture to serve KALA’s biomedical research and data science requirements;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desire to establish the terms under which Younet will license, manage and support Researgency platform for KALA, including an exclusive license for Platform as a service for biotechnology applications, structured as an initial period with successive optional renewal terms, and the compensation to be paid to Younet in connection therewith; and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KALA intends to serve as its own first deployment client during the Initial Term, applying the Platform’s AI capabilities to the Company’s proprietary MSC-S platform datasets, KPI-012 preclinical and clinical data, and existing intellectual property portfolio, before scaling Platform deployment to external biotech and pharmaceutical partners on a recurring subscription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agreements, representations, and warranties contained herein, and for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the Parties agree as follows:</w:t>
      </w:r>
    </w:p>
    <w:p>
      <w:pPr>
        <w:spacing w:after="0" w:line="1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Biotechnology Field</w:t>
      </w:r>
      <w:r>
        <w:rPr>
          <w:rFonts w:ascii="Times New Roman" w:cs="Times New Roman" w:eastAsia="Times New Roman" w:hAnsi="Times New Roman"/>
          <w:sz w:val="18"/>
          <w:szCs w:val="18"/>
          <w:color w:val="auto"/>
        </w:rPr>
        <w:t>” means the research, development, discovery, analysis, modeling, optimization, and commercialization of biological therapeutics, pharmaceutical compounds, drug candidates, biologics, gene therapies, cell therapies, diagnostic tools, and related biomedical applications, including but not limited to computational biology, AI-driven drug discovery, clinical trial design and analysis, biomedical literature review, regulatory analysis, and bioinformatics.</w:t>
      </w:r>
    </w:p>
    <w:p>
      <w:pPr>
        <w:spacing w:after="0" w:line="176"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all non-public information disclosed by one Party to the other in connection with this Agreement, whether in written, oral, electronic, or visual form, including but not limited to trade secrets, proprietary data, biological data, clinical data, patient data (to the extent de-identified and compliant with applicable law), algorithms, source code, business plans, financial information, customer lists, and technical know-how.</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Daily Volume Cap</w:t>
      </w:r>
      <w:r>
        <w:rPr>
          <w:rFonts w:ascii="Times New Roman" w:cs="Times New Roman" w:eastAsia="Times New Roman" w:hAnsi="Times New Roman"/>
          <w:sz w:val="17"/>
          <w:szCs w:val="17"/>
          <w:color w:val="auto"/>
        </w:rPr>
        <w:t>” has the meaning set forth in Section 4.04(f).</w:t>
      </w:r>
    </w:p>
    <w:p>
      <w:pPr>
        <w:spacing w:after="0" w:line="22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Sovereignty</w:t>
      </w:r>
      <w:r>
        <w:rPr>
          <w:rFonts w:ascii="Times New Roman" w:cs="Times New Roman" w:eastAsia="Times New Roman" w:hAnsi="Times New Roman"/>
          <w:sz w:val="18"/>
          <w:szCs w:val="18"/>
          <w:color w:val="auto"/>
        </w:rPr>
        <w:t>” means the principle that all data provided by or generated on behalf of a client (including KALA and any sublicensee) in connection with the Platform shall remain within such client’s own secure infrastructure and under such client’s exclusive custody and control at all times, and shall not be transmitted to, stored on, or accessible from any external servers, public cloud environments (provided that Younet may utilize private or isolated cloud environments solely with the prior written consent of KALA (or the applicable sublicensee), which consent shall specify the permitted cloud provider, the scope of data to be processed, and the security and isolation standards to be maintained, and which consent may be revoked upon thirty (30) days’ prior written notice), or third-party AI services without the express prior written consent of such client.</w:t>
      </w:r>
    </w:p>
    <w:p>
      <w:pPr>
        <w:spacing w:after="0" w:line="183"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Deliverables</w:t>
      </w:r>
      <w:r>
        <w:rPr>
          <w:rFonts w:ascii="Times New Roman" w:cs="Times New Roman" w:eastAsia="Times New Roman" w:hAnsi="Times New Roman"/>
          <w:sz w:val="18"/>
          <w:szCs w:val="18"/>
          <w:color w:val="auto"/>
        </w:rPr>
        <w:t>” means the Platform, training materials, deployment scripts, configuration files, and other work product delivered by Younet to KALA under this Agreement, as further described in the Scope of Work (Exhibit A).</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Extension Fee</w:t>
      </w:r>
      <w:r>
        <w:rPr>
          <w:rFonts w:ascii="Times New Roman" w:cs="Times New Roman" w:eastAsia="Times New Roman" w:hAnsi="Times New Roman"/>
          <w:sz w:val="17"/>
          <w:szCs w:val="17"/>
          <w:color w:val="auto"/>
        </w:rPr>
        <w:t>” means the cash and equity consideration payable by KALA for each Renewal Term, as set forth in Section 4.02.</w:t>
      </w:r>
    </w:p>
    <w:p>
      <w:pPr>
        <w:spacing w:after="0" w:line="22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Notice</w:t>
      </w:r>
      <w:r>
        <w:rPr>
          <w:rFonts w:ascii="Times New Roman" w:cs="Times New Roman" w:eastAsia="Times New Roman" w:hAnsi="Times New Roman"/>
          <w:sz w:val="18"/>
          <w:szCs w:val="18"/>
          <w:color w:val="auto"/>
        </w:rPr>
        <w:t>” means a written notice delivered by KALA to Younet electing to extend the Agreement for an additional Renewal Term, which notice shall be accompanied by the applicable Extension Fee.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Initial Term</w:t>
      </w:r>
      <w:r>
        <w:rPr>
          <w:rFonts w:ascii="Times New Roman" w:cs="Times New Roman" w:eastAsia="Times New Roman" w:hAnsi="Times New Roman"/>
          <w:sz w:val="17"/>
          <w:szCs w:val="17"/>
          <w:color w:val="auto"/>
        </w:rPr>
        <w:t>” means the period commencing on the Effective Date and ending on the date that is twelve (12) months after the Effective Date.</w:t>
      </w:r>
    </w:p>
    <w:p>
      <w:pPr>
        <w:spacing w:after="0" w:line="22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IP</w:t>
      </w:r>
      <w:r>
        <w:rPr>
          <w:rFonts w:ascii="Times New Roman" w:cs="Times New Roman" w:eastAsia="Times New Roman" w:hAnsi="Times New Roman"/>
          <w:sz w:val="18"/>
          <w:szCs w:val="18"/>
          <w:color w:val="auto"/>
        </w:rPr>
        <w:t>” means all patents, copyrights, trademarks, trade secrets, know-how, inventions, discoveries, algorithms, models, training data configurations, software code, and any other proprietary rights, whether or not registered.</w:t>
      </w:r>
    </w:p>
    <w:p>
      <w:pPr>
        <w:spacing w:after="0" w:line="15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KALA Data</w:t>
      </w:r>
      <w:r>
        <w:rPr>
          <w:rFonts w:ascii="Times New Roman" w:cs="Times New Roman" w:eastAsia="Times New Roman" w:hAnsi="Times New Roman"/>
          <w:sz w:val="18"/>
          <w:szCs w:val="18"/>
          <w:color w:val="auto"/>
        </w:rPr>
        <w:t>” means all data, datasets, biological information, clinical records, research materials, intellectual property, and proprietary information provided by KALA to Younet for use in connection with the development, training, or deployment of the Platform.</w:t>
      </w:r>
    </w:p>
    <w:p>
      <w:pPr>
        <w:spacing w:after="0" w:line="15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On-Premises Deployment</w:t>
      </w:r>
      <w:r>
        <w:rPr>
          <w:rFonts w:ascii="Times New Roman" w:cs="Times New Roman" w:eastAsia="Times New Roman" w:hAnsi="Times New Roman"/>
          <w:sz w:val="18"/>
          <w:szCs w:val="18"/>
          <w:color w:val="auto"/>
        </w:rPr>
        <w:t>” means the deployment and operation of the Platform (or any component thereof) directly within a client’s own secure computing environment, on servers owned or controlled by such client, such that all Platform processing, data storage, and AI inference occurs locally within the client’s infrastructure.</w:t>
      </w:r>
    </w:p>
    <w:p>
      <w:pPr>
        <w:spacing w:after="0" w:line="171"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means the Researgency biomedical AI research platform, including all custom AI agents, LLM configurations, RAG pipelines, user interfaces, APIs, dashboards, and supporting infrastructure developed by Younet for KALA under this Agreement.</w:t>
      </w:r>
    </w:p>
    <w:p>
      <w:pPr>
        <w:spacing w:after="0" w:line="155"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Renewal Term</w:t>
      </w:r>
      <w:r>
        <w:rPr>
          <w:rFonts w:ascii="Times New Roman" w:cs="Times New Roman" w:eastAsia="Times New Roman" w:hAnsi="Times New Roman"/>
          <w:sz w:val="18"/>
          <w:szCs w:val="18"/>
          <w:color w:val="auto"/>
        </w:rPr>
        <w:t>” means each successive twelve-month period for which KALA elects to extend this Agreement by delivering an Extension Notice and paying the applicable Extension Fee, as set forth in Article 4.</w:t>
      </w:r>
    </w:p>
    <w:p>
      <w:pPr>
        <w:spacing w:after="0" w:line="15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Shares</w:t>
      </w:r>
      <w:r>
        <w:rPr>
          <w:rFonts w:ascii="Times New Roman" w:cs="Times New Roman" w:eastAsia="Times New Roman" w:hAnsi="Times New Roman"/>
          <w:sz w:val="18"/>
          <w:szCs w:val="18"/>
          <w:color w:val="auto"/>
        </w:rPr>
        <w:t>” means the shares of KALA common stock issued to Younet pursuant to Article 4, which shares shall be “restricted securities” as defined under Rule 144 promulgated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means the Initial Term together with all Renewal Terms, if any.</w:t>
      </w:r>
    </w:p>
    <w:p>
      <w:pPr>
        <w:spacing w:after="0" w:line="22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Younet Background IP</w:t>
      </w:r>
      <w:r>
        <w:rPr>
          <w:rFonts w:ascii="Times New Roman" w:cs="Times New Roman" w:eastAsia="Times New Roman" w:hAnsi="Times New Roman"/>
          <w:sz w:val="18"/>
          <w:szCs w:val="18"/>
          <w:color w:val="auto"/>
        </w:rPr>
        <w:t>” means all Intellectual Property owned or controlled by Younet prior to the Effective Date or developed by Younet independently of this Agreement, including Younet’s core platform architecture, proprietary training algorithms, general-purpose LLM frameworks, and pre-existing software libraries.</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SCOPE OF WORK AND DELIVERABLES</w:t>
      </w:r>
    </w:p>
    <w:p>
      <w:pPr>
        <w:spacing w:after="0" w:line="203"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b w:val="1"/>
          <w:bCs w:val="1"/>
          <w:color w:val="auto"/>
        </w:rPr>
        <w:t>Engagement</w:t>
      </w:r>
      <w:r>
        <w:rPr>
          <w:rFonts w:ascii="Times New Roman" w:cs="Times New Roman" w:eastAsia="Times New Roman" w:hAnsi="Times New Roman"/>
          <w:sz w:val="18"/>
          <w:szCs w:val="18"/>
          <w:color w:val="auto"/>
        </w:rPr>
        <w:t>. KALA hereby licenses from Younet, and Younet hereby grants such license for, the Platform, on the terms and conditions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Younet shall provide KALA with initial access to and a working Platform during the Initial Term, as further described below. Full-scale configuration, customization, agent development, and ongoing deployment services shall be provided by Younet.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7"/>
          <w:szCs w:val="17"/>
          <w:b w:val="1"/>
          <w:bCs w:val="1"/>
          <w:color w:val="auto"/>
        </w:rPr>
        <w:t xml:space="preserve">Initial Deliverables. </w:t>
      </w:r>
      <w:r>
        <w:rPr>
          <w:rFonts w:ascii="Times New Roman" w:cs="Times New Roman" w:eastAsia="Times New Roman" w:hAnsi="Times New Roman"/>
          <w:sz w:val="17"/>
          <w:szCs w:val="17"/>
          <w:color w:val="auto"/>
        </w:rPr>
        <w:t>During the Initial Term, Younet shall deliver the following (collectively, the “</w:t>
      </w:r>
      <w:r>
        <w:rPr>
          <w:rFonts w:ascii="Times New Roman" w:cs="Times New Roman" w:eastAsia="Times New Roman" w:hAnsi="Times New Roman"/>
          <w:sz w:val="17"/>
          <w:szCs w:val="17"/>
          <w:b w:val="1"/>
          <w:bCs w:val="1"/>
          <w:color w:val="auto"/>
        </w:rPr>
        <w:t>Initial Deliverables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the Researgency platform in a standalone instance which may initially be hosted within a dedicated private cloud environment and which shall be designed and architected to support transition to full On-Premises Deployment within client environments, with a web-interface accessible at www.researgency.ai or such other URL as the Parties may agree (the “</w:t>
      </w:r>
      <w:r>
        <w:rPr>
          <w:rFonts w:ascii="Times New Roman" w:cs="Times New Roman" w:eastAsia="Times New Roman" w:hAnsi="Times New Roman"/>
          <w:sz w:val="18"/>
          <w:szCs w:val="18"/>
          <w:b w:val="1"/>
          <w:bCs w:val="1"/>
          <w:color w:val="auto"/>
        </w:rPr>
        <w:t>Platform Access</w:t>
      </w:r>
      <w:r>
        <w:rPr>
          <w:rFonts w:ascii="Times New Roman" w:cs="Times New Roman" w:eastAsia="Times New Roman" w:hAnsi="Times New Roman"/>
          <w:sz w:val="18"/>
          <w:szCs w:val="18"/>
          <w:color w:val="auto"/>
        </w:rPr>
        <w:t>”). For the avoidance of doubt, the Platform architecture shall be designed from inception for On-Premises Deployment and Data Sovereignty, consistent with the Platform’s intended use as on-premises AI infrastructure for the biotechnology industry;</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working Platform demonstrating its core biomedical AI capabilities, including bio-med specific LLM agents functionality and user interface, sufficient for KALA to evaluate the Platform’s suitability for its research needs and to demonstrate the Platform’s capabilities to prospective clients and collaborators, including but not limited to the Platform’s on-premises deployment architecture, custom agent configuration capabilities, retrieval-augmented generation (RAG) pipeline functionality, and data sovereignty features (the “</w:t>
      </w:r>
      <w:r>
        <w:rPr>
          <w:rFonts w:ascii="Times New Roman" w:cs="Times New Roman" w:eastAsia="Times New Roman" w:hAnsi="Times New Roman"/>
          <w:sz w:val="18"/>
          <w:szCs w:val="18"/>
          <w:b w:val="1"/>
          <w:bCs w:val="1"/>
          <w:color w:val="auto"/>
        </w:rPr>
        <w:t>Researgency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Introductory platform documentation and orientation materials;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under Younet standards introductory training for KALA personnel on use of the Platform.</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and deployment of custom private LLM bio-med agents for continuing launch within the platform.</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platform maintenance, infrastructure support, and technical assistance.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configuration and adaptation of the Platform for application to KALA’s proprietary MSC-S platform datasets, KPI-012 preclinical and clinical data, and existing intellectual property portfolio, such that KALA may serve as its own first deployment client and conduct AI-driven reassessment of its historical datasets during the Initial Term.</w:t>
      </w:r>
    </w:p>
    <w:p>
      <w:pPr>
        <w:spacing w:after="0" w:line="172"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b w:val="1"/>
          <w:bCs w:val="1"/>
          <w:color w:val="auto"/>
        </w:rPr>
        <w:t>Operating Costs</w:t>
      </w:r>
      <w:r>
        <w:rPr>
          <w:rFonts w:ascii="Times New Roman" w:cs="Times New Roman" w:eastAsia="Times New Roman" w:hAnsi="Times New Roman"/>
          <w:sz w:val="18"/>
          <w:szCs w:val="18"/>
          <w:color w:val="auto"/>
        </w:rPr>
        <w:t>. For clarity, all ongoing and recurring costs required to host, operate, and maintain the Researgency platform for KALA,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servers, on-premises infrastructure, cloud compute, storage, networking, managed services, third-party subscriptions, model/API usage fees, monitoring/logging, security tooling, and any other monthly or usage-based charges associated with the Platform, shall be borne by Younet during the Initial Term. In the event the parties wish to amend the specifics of the Platform, a separate written maintenance/support agreement or change order to provide such services and fees on a pass-through basis shall be entered into between Younet and KALA, and Younet shall provide an estimated budget to KALA and those costs will be borne by KALA.</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b w:val="1"/>
          <w:bCs w:val="1"/>
          <w:color w:val="auto"/>
        </w:rPr>
        <w:t>Renewal Term Deliverables</w:t>
      </w:r>
      <w:r>
        <w:rPr>
          <w:rFonts w:ascii="Times New Roman" w:cs="Times New Roman" w:eastAsia="Times New Roman" w:hAnsi="Times New Roman"/>
          <w:sz w:val="18"/>
          <w:szCs w:val="18"/>
          <w:color w:val="auto"/>
        </w:rPr>
        <w:t>. Upon KALA’s delivery of an Extension Notice and payment of the applicable Extension Fee for any Renewal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Younet shall, during such Renewal Term, use commercially reasonable efforts to provide the following services and deliverables (collectively, “</w:t>
      </w:r>
      <w:r>
        <w:rPr>
          <w:rFonts w:ascii="Times New Roman" w:cs="Times New Roman" w:eastAsia="Times New Roman" w:hAnsi="Times New Roman"/>
          <w:sz w:val="18"/>
          <w:szCs w:val="18"/>
          <w:b w:val="1"/>
          <w:bCs w:val="1"/>
          <w:color w:val="auto"/>
        </w:rPr>
        <w:t>Renewal Deliverables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left="1300" w:hanging="644"/>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deployment and configuration of the Researgency platform, including secure On-Premises Deployment within each client’s own secure computing environment (or, where agreed by the applicable client, dedicated private cloud infrastructure), user interfaces, administrative dashboards, and integration with KALA’s existing data systems, in each case in a manner consistent with the principles of Data Sovereignty;</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RAG pipeline configuration optimized for biomedical and pharmaceutical datasets, enabling the Platform to retrieve, synthesize, and analyze information from KALA’s proprietary data, published scientific literature, and regulatory databases;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up and configuration of custom Bio-Research agents (such number and specializations of which to be agreed in the applicable Extension Notice), to be trained and grown according to KALA’s data specifications, with all training data to be supplied and/or paid for by KALA;</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platform maintenance, infrastructure support, and technical assistance;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For clarity, during any Renewal Term, all ongoing and recurring costs required to host, operate, and maintain the Researgency platform for KALA, including without limitation servers, on-prem infrastructure, cloud compute, storage, networking, managed services, third-party subscriptions, model/API usage fees, monitoring/logging, security tooling, and any other monthly or usage-based charges associated with the Platform, shall be borne by KALA. Younet to provide estimated budget ahead of each quarter;</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documentation and additional training for KALA personnel as reasonably required;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development, data science, or consulting services as the Parties may agree in writing, subject to additional compensation as set forth in Section 4.04.</w:t>
      </w:r>
    </w:p>
    <w:p>
      <w:pPr>
        <w:spacing w:after="0" w:line="158"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2.05</w:t>
      </w:r>
      <w:r>
        <w:rPr>
          <w:sz w:val="20"/>
          <w:szCs w:val="20"/>
          <w:color w:val="auto"/>
        </w:rPr>
        <w:tab/>
      </w:r>
      <w:r>
        <w:rPr>
          <w:rFonts w:ascii="Times New Roman" w:cs="Times New Roman" w:eastAsia="Times New Roman" w:hAnsi="Times New Roman"/>
          <w:sz w:val="18"/>
          <w:szCs w:val="18"/>
          <w:b w:val="1"/>
          <w:bCs w:val="1"/>
          <w:color w:val="auto"/>
        </w:rPr>
        <w:t>No Obligation to Extend</w:t>
      </w:r>
      <w:r>
        <w:rPr>
          <w:rFonts w:ascii="Times New Roman" w:cs="Times New Roman" w:eastAsia="Times New Roman" w:hAnsi="Times New Roman"/>
          <w:sz w:val="18"/>
          <w:szCs w:val="18"/>
          <w:color w:val="auto"/>
        </w:rPr>
        <w:t>. For the avoidance of doubt, KALA is under no obligation to deliver an Extension Notice or to extend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beyond the Initial Term. KALA’s decision whether to extend shall be in its sole and absolute discretion. Younet acknowledges and agrees that it shall have no claim against KALA for failing to extend, and that the Upfront Payment and Initial Shares (each as defined in Article 4) constitute full and complete consideration for the Initial Deliverables and the grant of the license during the Initial Term.</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2.06</w:t>
      </w:r>
      <w:r>
        <w:rPr>
          <w:sz w:val="20"/>
          <w:szCs w:val="20"/>
          <w:color w:val="auto"/>
        </w:rPr>
        <w:tab/>
      </w:r>
      <w:r>
        <w:rPr>
          <w:rFonts w:ascii="Times New Roman" w:cs="Times New Roman" w:eastAsia="Times New Roman" w:hAnsi="Times New Roman"/>
          <w:sz w:val="18"/>
          <w:szCs w:val="18"/>
          <w:b w:val="1"/>
          <w:bCs w:val="1"/>
          <w:color w:val="auto"/>
        </w:rPr>
        <w:t>Younet’s Resource Commitment</w:t>
      </w:r>
      <w:r>
        <w:rPr>
          <w:rFonts w:ascii="Times New Roman" w:cs="Times New Roman" w:eastAsia="Times New Roman" w:hAnsi="Times New Roman"/>
          <w:sz w:val="18"/>
          <w:szCs w:val="18"/>
          <w:color w:val="auto"/>
        </w:rPr>
        <w:t>. For any Renewal Term, Younet shall not be required to commit dedicated development personnel,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resources, or material capital expenditures to the development of the Platform beyond the Initial Deliverables unless KALA has such request in writing, under mutually agreed upon budget. Upon receipt of an Extension Notice and Extension Fee, Younet shall promptly allocate the resources necessary to deliver the applicable Renewal Deliverables in accordance with this Agreement.</w:t>
      </w:r>
    </w:p>
    <w:p>
      <w:pPr>
        <w:spacing w:after="0" w:line="176"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2.07</w:t>
      </w:r>
      <w:r>
        <w:rPr>
          <w:sz w:val="20"/>
          <w:szCs w:val="20"/>
          <w:color w:val="auto"/>
        </w:rPr>
        <w:tab/>
      </w:r>
      <w:r>
        <w:rPr>
          <w:rFonts w:ascii="Times New Roman" w:cs="Times New Roman" w:eastAsia="Times New Roman" w:hAnsi="Times New Roman"/>
          <w:sz w:val="18"/>
          <w:szCs w:val="18"/>
          <w:b w:val="1"/>
          <w:bCs w:val="1"/>
          <w:color w:val="auto"/>
        </w:rPr>
        <w:t>Accelerated Extension</w:t>
      </w:r>
      <w:r>
        <w:rPr>
          <w:rFonts w:ascii="Times New Roman" w:cs="Times New Roman" w:eastAsia="Times New Roman" w:hAnsi="Times New Roman"/>
          <w:sz w:val="18"/>
          <w:szCs w:val="18"/>
          <w:color w:val="auto"/>
        </w:rPr>
        <w:t>. KALA may deliver an Extension Notice and pay the applicable Extension Fee at any time, including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expiration of the then-current Initial Term or Renewal Term. Upon receipt of an accelerated Extension Fee, the new Renewal Term shall commence immediately upon the later of: (a) the date of receipt of the Extension Fee; or (b) the expiration of the then-current term, and Younet shall promptly commence delivery of the applicable Renewal Deliverables.</w:t>
      </w:r>
    </w:p>
    <w:p>
      <w:pPr>
        <w:spacing w:after="0" w:line="176"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2.08</w:t>
      </w:r>
      <w:r>
        <w:rPr>
          <w:sz w:val="20"/>
          <w:szCs w:val="20"/>
          <w:color w:val="auto"/>
        </w:rPr>
        <w:tab/>
      </w:r>
      <w:r>
        <w:rPr>
          <w:rFonts w:ascii="Times New Roman" w:cs="Times New Roman" w:eastAsia="Times New Roman" w:hAnsi="Times New Roman"/>
          <w:sz w:val="18"/>
          <w:szCs w:val="18"/>
          <w:b w:val="1"/>
          <w:bCs w:val="1"/>
          <w:color w:val="auto"/>
        </w:rPr>
        <w:t>Initial Term Timeline</w:t>
      </w:r>
      <w:r>
        <w:rPr>
          <w:rFonts w:ascii="Times New Roman" w:cs="Times New Roman" w:eastAsia="Times New Roman" w:hAnsi="Times New Roman"/>
          <w:sz w:val="18"/>
          <w:szCs w:val="18"/>
          <w:color w:val="auto"/>
        </w:rPr>
        <w:t>. Younet shall use commercially reasonable efforts to deliver the Initial Deliverables (Kala customized Platform Access)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fourteen (14) business days of the Effective Date (the “</w:t>
      </w:r>
      <w:r>
        <w:rPr>
          <w:rFonts w:ascii="Times New Roman" w:cs="Times New Roman" w:eastAsia="Times New Roman" w:hAnsi="Times New Roman"/>
          <w:sz w:val="18"/>
          <w:szCs w:val="18"/>
          <w:b w:val="1"/>
          <w:bCs w:val="1"/>
          <w:color w:val="auto"/>
        </w:rPr>
        <w:t>Initial Delivery Date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2.09</w:t>
      </w:r>
      <w:r>
        <w:rPr>
          <w:sz w:val="20"/>
          <w:szCs w:val="20"/>
          <w:color w:val="auto"/>
        </w:rPr>
        <w:tab/>
      </w:r>
      <w:r>
        <w:rPr>
          <w:rFonts w:ascii="Times New Roman" w:cs="Times New Roman" w:eastAsia="Times New Roman" w:hAnsi="Times New Roman"/>
          <w:sz w:val="18"/>
          <w:szCs w:val="18"/>
          <w:b w:val="1"/>
          <w:bCs w:val="1"/>
          <w:color w:val="auto"/>
        </w:rPr>
        <w:t>Milestones</w:t>
      </w:r>
      <w:r>
        <w:rPr>
          <w:rFonts w:ascii="Times New Roman" w:cs="Times New Roman" w:eastAsia="Times New Roman" w:hAnsi="Times New Roman"/>
          <w:sz w:val="18"/>
          <w:szCs w:val="18"/>
          <w:color w:val="auto"/>
        </w:rPr>
        <w:t>. The Initial Deliverables shall proceed in accordance with the following schedule:</w:t>
      </w:r>
    </w:p>
    <w:p>
      <w:pPr>
        <w:spacing w:after="0" w:line="229" w:lineRule="exact"/>
        <w:rPr>
          <w:sz w:val="20"/>
          <w:szCs w:val="20"/>
          <w:color w:val="auto"/>
        </w:rPr>
      </w:pPr>
    </w:p>
    <w:p>
      <w:pPr>
        <w:ind w:left="130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1 — Platform Access: Standalone cloud Researgency instance provisioned and web- interface accessible at www.researgency.ai (Days 1–5);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2 — Platform Delivery: Working Platform with bio-med specific LLM agent functionality delivered for KALA evaluation (Days 5–14).</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Milestones for Renewal Term Deliverables shall be set forth in the applicable Extension Notice or a mutually agreed development plan for each Renewal Term.</w:t>
      </w:r>
    </w:p>
    <w:p>
      <w:pPr>
        <w:spacing w:after="0" w:line="158"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 Upon delivery of each Milestone, KALA shall have fifteen (15) business days to review and either accept the deliverables or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of deficiencies (each, a “</w:t>
      </w:r>
      <w:r>
        <w:rPr>
          <w:rFonts w:ascii="Times New Roman" w:cs="Times New Roman" w:eastAsia="Times New Roman" w:hAnsi="Times New Roman"/>
          <w:sz w:val="18"/>
          <w:szCs w:val="18"/>
          <w:b w:val="1"/>
          <w:bCs w:val="1"/>
          <w:color w:val="auto"/>
        </w:rPr>
        <w:t>Deficiency Notice</w:t>
      </w:r>
      <w:r>
        <w:rPr>
          <w:rFonts w:ascii="Times New Roman" w:cs="Times New Roman" w:eastAsia="Times New Roman" w:hAnsi="Times New Roman"/>
          <w:sz w:val="18"/>
          <w:szCs w:val="18"/>
          <w:color w:val="auto"/>
        </w:rPr>
        <w:t>”). Younet shall use commercially reasonable efforts to cure any identified deficiencies within fifteen (15) business days of receiving such notice and shall re-deliver the applicable Milestone deliverables to KALA for further review.</w:t>
      </w:r>
    </w:p>
    <w:p>
      <w:pPr>
        <w:spacing w:after="0" w:line="17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Upon re-delivery, KALA shall have an additional ten (10) business days to review and either accept or provide a further Deficiency Notice. If, after two (2) rounds of cure and re-delivery, material deficiencies remain unresolved, either Party may escalate the matter for resolution by the Parties’ respective senior executives. If such senior executives are unable to resolve the dispute within fifteen (15) business days of escalation, the matter shall be resolved in accordance with Section 11.04 (Dispute Resolution). For the avoidance of doubt, no deliverable shall be deemed accepted without KALA’s express written acceptance or, in the absence of a Deficiency Notice, upon the expiration of the applicable review period following the final re-delivery.</w:t>
      </w:r>
    </w:p>
    <w:p>
      <w:pPr>
        <w:spacing w:after="0" w:line="183"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b w:val="1"/>
          <w:bCs w:val="1"/>
          <w:color w:val="auto"/>
        </w:rPr>
        <w:t>Change Orders</w:t>
      </w:r>
      <w:r>
        <w:rPr>
          <w:rFonts w:ascii="Times New Roman" w:cs="Times New Roman" w:eastAsia="Times New Roman" w:hAnsi="Times New Roman"/>
          <w:sz w:val="18"/>
          <w:szCs w:val="18"/>
          <w:color w:val="auto"/>
        </w:rPr>
        <w:t>. Any changes to the Scope of Work, timeline, or Deliverables after the Effective Date shall require a written change order 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authorized representatives of both Parties, specifying the nature of the change, any impact on the timeline, and any additional compensation.</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b w:val="1"/>
          <w:bCs w:val="1"/>
          <w:color w:val="auto"/>
        </w:rPr>
        <w:t>Platform Design Principles</w:t>
      </w:r>
      <w:r>
        <w:rPr>
          <w:rFonts w:ascii="Times New Roman" w:cs="Times New Roman" w:eastAsia="Times New Roman" w:hAnsi="Times New Roman"/>
          <w:sz w:val="18"/>
          <w:szCs w:val="18"/>
          <w:color w:val="auto"/>
        </w:rPr>
        <w:t>. The Parties acknowledge and agree that the Platform shall be designed, developed, and deployed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core principles:</w:t>
      </w:r>
    </w:p>
    <w:p>
      <w:pPr>
        <w:spacing w:after="0" w:line="155" w:lineRule="exact"/>
        <w:rPr>
          <w:sz w:val="20"/>
          <w:szCs w:val="20"/>
          <w:color w:val="auto"/>
        </w:rPr>
      </w:pPr>
    </w:p>
    <w:p>
      <w:pPr>
        <w:jc w:val="both"/>
        <w:ind w:left="1300" w:hanging="644"/>
        <w:spacing w:after="0" w:line="26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On-Premises Architecture</w:t>
      </w:r>
      <w:r>
        <w:rPr>
          <w:rFonts w:ascii="Times New Roman" w:cs="Times New Roman" w:eastAsia="Times New Roman" w:hAnsi="Times New Roman"/>
          <w:sz w:val="18"/>
          <w:szCs w:val="18"/>
          <w:color w:val="auto"/>
        </w:rPr>
        <w:t>. The Platform architecture shall be designed from inception for On-Premises Deployment, enabling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to be deployed directly within each client’s own secure environment, on such client’s own servers, under such client’s own control. In this model, KALA (or its sublicensee, as applicable) provides the AI platform, the purpose-built biomedical agents, and the ongoing optimization, while the client retains full ownership and custody of their data at all times.</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Sovereignty</w:t>
      </w:r>
      <w:r>
        <w:rPr>
          <w:rFonts w:ascii="Times New Roman" w:cs="Times New Roman" w:eastAsia="Times New Roman" w:hAnsi="Times New Roman"/>
          <w:sz w:val="18"/>
          <w:szCs w:val="18"/>
          <w:color w:val="auto"/>
        </w:rPr>
        <w:t>. Subject to Section 5.06, the Platform shall be configured and operated such that no proprietary information, biological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trade secrets, clinical datasets, or other confidential client data is transmitted to, stored on, or processed by any external servers, public cloud environments, or third-party AI services, unless the applicable client has provided express prior written consent. Each client’s data shall remain entirely within such client’s own infrastructure at all times.</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Multi-Client Scalability</w:t>
      </w:r>
      <w:r>
        <w:rPr>
          <w:rFonts w:ascii="Times New Roman" w:cs="Times New Roman" w:eastAsia="Times New Roman" w:hAnsi="Times New Roman"/>
          <w:sz w:val="18"/>
          <w:szCs w:val="18"/>
          <w:color w:val="auto"/>
        </w:rPr>
        <w:t>. The Platform architecture shall be designed from inception for multi-client deployment, enabling KALA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onboard additional biotech and pharmaceutical clients through sublicenses without requiring material rebuilding of core Platform systems.</w:t>
      </w:r>
    </w:p>
    <w:p>
      <w:pPr>
        <w:spacing w:after="0" w:line="170"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 Agent Configuration</w:t>
      </w:r>
      <w:r>
        <w:rPr>
          <w:rFonts w:ascii="Times New Roman" w:cs="Times New Roman" w:eastAsia="Times New Roman" w:hAnsi="Times New Roman"/>
          <w:sz w:val="18"/>
          <w:szCs w:val="18"/>
          <w:color w:val="auto"/>
        </w:rPr>
        <w:t>. The Platform shall support the deployment of purpose-built AI agents configured specifically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client’s therapeutic focus areas, data types, and research objectives, rather than generic, multi-purpose models.</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b w:val="1"/>
          <w:bCs w:val="1"/>
          <w:color w:val="auto"/>
        </w:rPr>
        <w:t>Phased Deployment Strategy</w:t>
      </w:r>
      <w:r>
        <w:rPr>
          <w:rFonts w:ascii="Times New Roman" w:cs="Times New Roman" w:eastAsia="Times New Roman" w:hAnsi="Times New Roman"/>
          <w:sz w:val="18"/>
          <w:szCs w:val="18"/>
          <w:color w:val="auto"/>
        </w:rPr>
        <w:t>. The Parties acknowledge that KALA intends to deploy the Platform in a phased approach, as follows:</w:t>
      </w:r>
    </w:p>
    <w:p>
      <w:pPr>
        <w:spacing w:after="0" w:line="225" w:lineRule="exact"/>
        <w:rPr>
          <w:sz w:val="20"/>
          <w:szCs w:val="20"/>
          <w:color w:val="auto"/>
        </w:rPr>
      </w:pPr>
    </w:p>
    <w:p>
      <w:pPr>
        <w:jc w:val="both"/>
        <w:ind w:left="1300" w:hanging="644"/>
        <w:spacing w:after="0" w:line="257"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Phase 1 — Internal Validation</w:t>
      </w:r>
      <w:r>
        <w:rPr>
          <w:rFonts w:ascii="Times New Roman" w:cs="Times New Roman" w:eastAsia="Times New Roman" w:hAnsi="Times New Roman"/>
          <w:sz w:val="18"/>
          <w:szCs w:val="18"/>
          <w:color w:val="auto"/>
        </w:rPr>
        <w:t>. During the Initial Term, KALA shall serve as its own first deployment client, applying the Platform’s 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capabilities to the Company’s proprietary MSC-S platform datasets, KPI-012 preclinical and clinical data, and existing intellectual property portfolio. KALA expects to use the Platform during the Initial Term to (i) reassess historical preclinical and clinical datasets, (ii) identify additional therapeutic indications or development pathways, (iii) support trial design optimization and probability-of-success modeling, (iv) evaluate regulatory and commercialization strategies, and (v) automate literature review and competitive intelligence functions.</w:t>
      </w:r>
    </w:p>
    <w:p>
      <w:pPr>
        <w:spacing w:after="0" w:line="182"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Phase 2 — External Deployment</w:t>
      </w:r>
      <w:r>
        <w:rPr>
          <w:rFonts w:ascii="Times New Roman" w:cs="Times New Roman" w:eastAsia="Times New Roman" w:hAnsi="Times New Roman"/>
          <w:sz w:val="18"/>
          <w:szCs w:val="18"/>
          <w:color w:val="auto"/>
        </w:rPr>
        <w:t>. Following successful internal validation, KALA intends to begin sublicensing the Platform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external biotech and pharmaceutical clients on a recurring subscription basis, in accordance with the sublicensing rights set forth in Section 3.01. Each external deployment would be customized for the applicable client’s specific therapeutic focus, data environment, and research objectives, with the Platform deployed directly within the client’s own infrastructure in accordance with Section 2.12.</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jc w:val="both"/>
        <w:ind w:left="1300" w:hanging="644"/>
        <w:spacing w:after="0" w:line="268"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Phase 3 — Platform Expansion</w:t>
      </w:r>
      <w:r>
        <w:rPr>
          <w:rFonts w:ascii="Times New Roman" w:cs="Times New Roman" w:eastAsia="Times New Roman" w:hAnsi="Times New Roman"/>
          <w:sz w:val="18"/>
          <w:szCs w:val="18"/>
          <w:color w:val="auto"/>
        </w:rPr>
        <w:t>. As the client base grows, KALA intends to expand the Platform’s capabilities to include advanced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predictive modeling for drug discovery workflows, AI-powered hypothesis generation and experimental design, secure regulatory-compliant data management, and collaborative research tools for academic institutions, CROs, and pharmaceutical partners.</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avoidance of doubt, the phased deployment strategy described in this Section 2.13 reflects KALA’s current business intentions and does not impose any obligation on KALA to proceed with any particular phase or to achieve any particular results. KALA’s decisions regarding the timing, scope, and execution of each phase shall be in its sole and absolute discretion</w:t>
      </w:r>
    </w:p>
    <w:p>
      <w:pPr>
        <w:spacing w:after="0" w:line="17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EXCLUSIVITY</w:t>
      </w:r>
    </w:p>
    <w:p>
      <w:pPr>
        <w:spacing w:after="0" w:line="203"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8"/>
          <w:szCs w:val="18"/>
          <w:b w:val="1"/>
          <w:bCs w:val="1"/>
          <w:color w:val="auto"/>
        </w:rPr>
        <w:t>Exclusive License — Biotechnology Field</w:t>
      </w:r>
      <w:r>
        <w:rPr>
          <w:rFonts w:ascii="Times New Roman" w:cs="Times New Roman" w:eastAsia="Times New Roman" w:hAnsi="Times New Roman"/>
          <w:sz w:val="18"/>
          <w:szCs w:val="18"/>
          <w:color w:val="auto"/>
        </w:rPr>
        <w:t>. For the duration of the Term, Younet hereby grants to KALA an exclusive, worldwide license to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deploy, and sublicense the Platform (as customized and configured under this Agreement) solely within the Biotechnology Field. For the avoidance of doubt, KALA holds exclusive worldwide rights to the Platform within the Biotechnology Field for the duration of the Term, preventing direct platform competition in such field during the license term. During the Term, Younet shall not develop, deploy, license, or otherwise make available to any third party a substantially similar biomedical AI research platform for use in the Biotechnology Field without the prior written consent of KALA. KALA shall have the right, without the prior consent of Younet (but subject to this Section 3.01), to sublicense access to and use of the Platform to third-party clients within the Biotechnology Field, on such terms as KALA determines in its sole discretion, provided that:</w:t>
      </w:r>
    </w:p>
    <w:p>
      <w:pPr>
        <w:spacing w:after="0" w:line="189" w:lineRule="exact"/>
        <w:rPr>
          <w:sz w:val="20"/>
          <w:szCs w:val="20"/>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sublicensee shall execute a sublicense agreement containing terms no less protective of Younet’s Background IP and Confidential Information than those set forth in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KALA shall remain responsible for, and shall guarantee, each sublicensee’s compliance with the applicable terms of this Agreement;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KALA shall reimburse Younet for all incremental, documented, out-of-pocket infrastructure, hosting, and support costs directly attributable to each sublicensee’s use of the Platform, as invoiced monthly by Younet with reasonable supporting detail; 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both"/>
        <w:ind w:left="644" w:hanging="644"/>
        <w:spacing w:after="0" w:line="252"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KALA shall provide Younet with written notice within ten (10) business days of KALA’s determination to pursue a sublicense with a prospective sublicensee (which notice may be given prior to or after execution of the sublicense), identifying the sublicensee and the general scope of permitted use. Within five (5) business days of receiving such notice, Younet shall deliver to KALA a written estimate of any incremental infrastructure, hosting, technical setup, and staffing costs that Younet reasonably anticipates will be required to onboard and support such sublicensee (a “</w:t>
      </w:r>
      <w:r>
        <w:rPr>
          <w:rFonts w:ascii="Times New Roman" w:cs="Times New Roman" w:eastAsia="Times New Roman" w:hAnsi="Times New Roman"/>
          <w:sz w:val="18"/>
          <w:szCs w:val="18"/>
          <w:b w:val="1"/>
          <w:bCs w:val="1"/>
          <w:color w:val="auto"/>
        </w:rPr>
        <w:t>Sublicensee Cost Estimate</w:t>
      </w:r>
      <w:r>
        <w:rPr>
          <w:rFonts w:ascii="Times New Roman" w:cs="Times New Roman" w:eastAsia="Times New Roman" w:hAnsi="Times New Roman"/>
          <w:sz w:val="18"/>
          <w:szCs w:val="18"/>
          <w:color w:val="auto"/>
        </w:rPr>
        <w:t>”), which shall be in reasonable detail and limited to documented, incremental costs directly attributable to the sublicensee. KALA shall not be required to delay execution of any sublicense pending receipt of a Sublicensee Cost Estimate. KALA shall reimburse Younet for all reasonable, documented costs set forth in the Sublicensee Cost Estimate (as may be adjusted by mutual written agreement) within thirty (30) days of Younet’s invoice therefor, accompanied by reasonable supporting documentation. For the avoidance of doubt, Younet’s failure to deliver a Sublicensee Cost Estimate within the five</w:t>
      </w:r>
    </w:p>
    <w:p>
      <w:pPr>
        <w:spacing w:after="0" w:line="6" w:lineRule="exact"/>
        <w:rPr>
          <w:rFonts w:ascii="Times New Roman" w:cs="Times New Roman" w:eastAsia="Times New Roman" w:hAnsi="Times New Roman"/>
          <w:sz w:val="18"/>
          <w:szCs w:val="18"/>
          <w:color w:val="auto"/>
        </w:rPr>
      </w:pPr>
    </w:p>
    <w:p>
      <w:pPr>
        <w:ind w:left="64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business day period shall not restrict or delay KALA’s right to execute the sublicense, and Younet shall not have a right to withhold, delay, or condition any sublicense.</w:t>
      </w:r>
    </w:p>
    <w:p>
      <w:pPr>
        <w:spacing w:after="0" w:line="181" w:lineRule="exact"/>
        <w:rPr>
          <w:sz w:val="20"/>
          <w:szCs w:val="20"/>
          <w:color w:val="auto"/>
        </w:rPr>
      </w:pPr>
    </w:p>
    <w:p>
      <w:pPr>
        <w:jc w:val="both"/>
        <w:ind w:left="644"/>
        <w:spacing w:after="0" w:line="255" w:lineRule="auto"/>
        <w:rPr>
          <w:sz w:val="20"/>
          <w:szCs w:val="20"/>
          <w:color w:val="auto"/>
        </w:rPr>
      </w:pPr>
      <w:r>
        <w:rPr>
          <w:rFonts w:ascii="Times New Roman" w:cs="Times New Roman" w:eastAsia="Times New Roman" w:hAnsi="Times New Roman"/>
          <w:sz w:val="18"/>
          <w:szCs w:val="18"/>
          <w:color w:val="auto"/>
        </w:rPr>
        <w:t>For the avoidance of doubt, all sublicense fees, royalties, or other revenue received by KALA from sublicensees shall be retained by KALA, and Younet shall have no entitlement to any share of such revenue other than the incremental cost reimbursement described in clause (iii) above and reimbursement for reasonable, documented initial launch costs (including technical setup and dedicated staff time) directly attributable to the onboarding of each sublicensee, as set forth in the applicable Sublicensee Cost Estimate delivered pursuant to Section 3.01(iv), provided that (x) such initial launch costs shall not exceed Twenty-Five Thousand United States Dollars (US$25,000) per sublicensee without KALA’s prior written approval, and (y) Younet shall provide KALA with reasonable supporting documentation for all amounts invoiced.</w:t>
      </w:r>
    </w:p>
    <w:p>
      <w:pPr>
        <w:spacing w:after="0" w:line="189"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(including Sections 3.01 and 3.02), the exclusivity and non-compete restrictions in this Article 3 shall apply only to (i) the Researgency Platform (as defined herein) and (ii) the development, deployment, licensing, or making available to any third party of a custom, dedicated, single-tenant, on-premises, private-cloud, or comparable in functionality biomedical AI research platform that is substantially similar to the Platform as customized and configured for KALA for use in the Biotechnology Field.</w:t>
      </w:r>
    </w:p>
    <w:p>
      <w:pPr>
        <w:spacing w:after="0" w:line="180"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For the avoidance of doubt, nothing in this Agreement shall restrict Younet, at any time (including during the Term), from (a) operating, offering, licensing, selling, providing access to, or supporting Younet’s standard, generally available, self-serve, multi-tenant SaaS version of the Younet AI platform for any use.</w:t>
      </w:r>
    </w:p>
    <w:p>
      <w:pPr>
        <w:spacing w:after="0" w:line="28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13" w:name="page14"/>
    <w:bookmarkEnd w:id="13"/>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8"/>
          <w:szCs w:val="18"/>
          <w:b w:val="1"/>
          <w:bCs w:val="1"/>
          <w:color w:val="auto"/>
        </w:rPr>
        <w:t>Exclusivity Duration</w:t>
      </w:r>
      <w:r>
        <w:rPr>
          <w:rFonts w:ascii="Times New Roman" w:cs="Times New Roman" w:eastAsia="Times New Roman" w:hAnsi="Times New Roman"/>
          <w:sz w:val="18"/>
          <w:szCs w:val="18"/>
          <w:color w:val="auto"/>
        </w:rPr>
        <w:t>. The exclusive license granted in Section 3.01 shall remain in effect for the duration of the Term (i.e., the Initial Term 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Renewal Terms, if any). Upon expiration of the Term (including if KALA elects not to extend), the exclusive license shall terminate and Younet shall be free to license the Platform in the Biotechnology Field to third parties, subject to the survival provisions of Article 11.</w:t>
      </w:r>
    </w:p>
    <w:p>
      <w:pPr>
        <w:spacing w:after="0" w:line="171"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Times New Roman" w:cs="Times New Roman" w:eastAsia="Times New Roman" w:hAnsi="Times New Roman"/>
          <w:sz w:val="18"/>
          <w:szCs w:val="18"/>
          <w:color w:val="auto"/>
        </w:rPr>
        <w:t>3.03</w:t>
      </w:r>
      <w:r>
        <w:rPr>
          <w:sz w:val="20"/>
          <w:szCs w:val="20"/>
          <w:color w:val="auto"/>
        </w:rPr>
        <w:tab/>
      </w:r>
      <w:r>
        <w:rPr>
          <w:rFonts w:ascii="Times New Roman" w:cs="Times New Roman" w:eastAsia="Times New Roman" w:hAnsi="Times New Roman"/>
          <w:sz w:val="17"/>
          <w:szCs w:val="17"/>
          <w:b w:val="1"/>
          <w:bCs w:val="1"/>
          <w:color w:val="auto"/>
        </w:rPr>
        <w:t>Carve-Out for Younet’s General Business</w:t>
      </w:r>
      <w:r>
        <w:rPr>
          <w:rFonts w:ascii="Times New Roman" w:cs="Times New Roman" w:eastAsia="Times New Roman" w:hAnsi="Times New Roman"/>
          <w:sz w:val="17"/>
          <w:szCs w:val="17"/>
          <w:color w:val="auto"/>
        </w:rPr>
        <w:t>. For the avoidance of doubt, the exclusivity granted hereunder applies solely to the Biotechnology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Field. Younet retains the unrestricted right to develop, deploy, license, and sell its AI platform, agents, and services to clients in all other industries and fields of use, including but not limited to e-commerce, financial services, legal, education, marketing, and general enterprise applications.</w:t>
      </w:r>
    </w:p>
    <w:p>
      <w:pPr>
        <w:spacing w:after="0" w:line="153"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3.04</w:t>
      </w:r>
      <w:r>
        <w:rPr>
          <w:sz w:val="20"/>
          <w:szCs w:val="20"/>
          <w:color w:val="auto"/>
        </w:rPr>
        <w:tab/>
      </w:r>
      <w:r>
        <w:rPr>
          <w:rFonts w:ascii="Times New Roman" w:cs="Times New Roman" w:eastAsia="Times New Roman" w:hAnsi="Times New Roman"/>
          <w:sz w:val="18"/>
          <w:szCs w:val="18"/>
          <w:b w:val="1"/>
          <w:bCs w:val="1"/>
          <w:color w:val="auto"/>
        </w:rPr>
        <w:t>Non-Compete</w:t>
      </w:r>
      <w:r>
        <w:rPr>
          <w:rFonts w:ascii="Times New Roman" w:cs="Times New Roman" w:eastAsia="Times New Roman" w:hAnsi="Times New Roman"/>
          <w:sz w:val="18"/>
          <w:szCs w:val="18"/>
          <w:color w:val="auto"/>
        </w:rPr>
        <w:t>. During the Term, Younet shall not, directly or indirectly, enter into any agreement, arrangement, or understanding with any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for the development or deployment of a custom biomedical AI research platform substantially similar to the Platform without the prior written consent of KALA. This restriction shall not prevent Younet from providing general AI consulting, training, or support services that do not involve the development of a competing platform in the Biotechnology Field.</w:t>
      </w:r>
    </w:p>
    <w:p>
      <w:pPr>
        <w:spacing w:after="0" w:line="17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03"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4.01</w:t>
      </w:r>
      <w:r>
        <w:rPr>
          <w:sz w:val="20"/>
          <w:szCs w:val="20"/>
          <w:color w:val="auto"/>
        </w:rPr>
        <w:tab/>
      </w:r>
      <w:r>
        <w:rPr>
          <w:rFonts w:ascii="Times New Roman" w:cs="Times New Roman" w:eastAsia="Times New Roman" w:hAnsi="Times New Roman"/>
          <w:sz w:val="18"/>
          <w:szCs w:val="18"/>
          <w:b w:val="1"/>
          <w:bCs w:val="1"/>
          <w:color w:val="auto"/>
        </w:rPr>
        <w:t>Initial Fee</w:t>
      </w:r>
      <w:r>
        <w:rPr>
          <w:rFonts w:ascii="Times New Roman" w:cs="Times New Roman" w:eastAsia="Times New Roman" w:hAnsi="Times New Roman"/>
          <w:sz w:val="18"/>
          <w:szCs w:val="18"/>
          <w:color w:val="auto"/>
        </w:rPr>
        <w:t>. In consideration of the Initial Deliverables and the grant of the exclusive license during the Initial Term, KALA shall pay Younet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cash fee of up to Five Hundred Thirty Thousand United States Dollars (US$530,000.00) (the “</w:t>
      </w:r>
      <w:r>
        <w:rPr>
          <w:rFonts w:ascii="Times New Roman" w:cs="Times New Roman" w:eastAsia="Times New Roman" w:hAnsi="Times New Roman"/>
          <w:sz w:val="18"/>
          <w:szCs w:val="18"/>
          <w:b w:val="1"/>
          <w:bCs w:val="1"/>
          <w:color w:val="auto"/>
        </w:rPr>
        <w:t>Initial Fee</w:t>
      </w:r>
      <w:r>
        <w:rPr>
          <w:rFonts w:ascii="Times New Roman" w:cs="Times New Roman" w:eastAsia="Times New Roman" w:hAnsi="Times New Roman"/>
          <w:sz w:val="18"/>
          <w:szCs w:val="18"/>
          <w:color w:val="auto"/>
        </w:rPr>
        <w:t>”), payable as follows:</w:t>
      </w:r>
    </w:p>
    <w:p>
      <w:pPr>
        <w:spacing w:after="0" w:line="155" w:lineRule="exact"/>
        <w:rPr>
          <w:sz w:val="20"/>
          <w:szCs w:val="20"/>
          <w:color w:val="auto"/>
        </w:rPr>
      </w:pPr>
    </w:p>
    <w:p>
      <w:pPr>
        <w:ind w:left="1300" w:hanging="644"/>
        <w:spacing w:after="0" w:line="28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Upfront Payment</w:t>
      </w:r>
      <w:r>
        <w:rPr>
          <w:rFonts w:ascii="Times New Roman" w:cs="Times New Roman" w:eastAsia="Times New Roman" w:hAnsi="Times New Roman"/>
          <w:sz w:val="18"/>
          <w:szCs w:val="18"/>
          <w:color w:val="auto"/>
        </w:rPr>
        <w:t>. Eighty Thousand United States Dollars (US$80,000.00) (the “</w:t>
      </w:r>
      <w:r>
        <w:rPr>
          <w:rFonts w:ascii="Times New Roman" w:cs="Times New Roman" w:eastAsia="Times New Roman" w:hAnsi="Times New Roman"/>
          <w:sz w:val="18"/>
          <w:szCs w:val="18"/>
          <w:b w:val="1"/>
          <w:bCs w:val="1"/>
          <w:color w:val="auto"/>
        </w:rPr>
        <w:t>Upfront Payment</w:t>
      </w:r>
      <w:r>
        <w:rPr>
          <w:rFonts w:ascii="Times New Roman" w:cs="Times New Roman" w:eastAsia="Times New Roman" w:hAnsi="Times New Roman"/>
          <w:sz w:val="18"/>
          <w:szCs w:val="18"/>
          <w:color w:val="auto"/>
        </w:rPr>
        <w:t>”), due and payable on execution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59"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Development Continuation Payments</w:t>
      </w:r>
      <w:r>
        <w:rPr>
          <w:rFonts w:ascii="Times New Roman" w:cs="Times New Roman" w:eastAsia="Times New Roman" w:hAnsi="Times New Roman"/>
          <w:sz w:val="18"/>
          <w:szCs w:val="18"/>
          <w:color w:val="auto"/>
        </w:rPr>
        <w:t>. Subject to Section 4.01(c), Four Hundred Fifty Thousand United States Dollars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(US$450,000.00) (the “Development Continuation Payments”), payable in nine (9) equal monthly installments of Fifty Thousand Dollars (US$50,000.00) each, with the first such installment due on the first business day of the third (3rd) month following the Effective Date and each subsequent installment due on the first business day of each successive month thereafter, through and including the first business day of the eleventh (11th) month following the Effective Date.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Development Continuation Election</w:t>
      </w:r>
      <w:r>
        <w:rPr>
          <w:rFonts w:ascii="Times New Roman" w:cs="Times New Roman" w:eastAsia="Times New Roman" w:hAnsi="Times New Roman"/>
          <w:sz w:val="18"/>
          <w:szCs w:val="18"/>
          <w:color w:val="auto"/>
        </w:rPr>
        <w:t>. The Development Continuation Payments under Section 4.01(b) shall become due and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if KALA, in its sole and absolute discretion, delivers written notice to Younet electing to engage Younet for continued development of the Platform (a “</w:t>
      </w:r>
      <w:r>
        <w:rPr>
          <w:rFonts w:ascii="Times New Roman" w:cs="Times New Roman" w:eastAsia="Times New Roman" w:hAnsi="Times New Roman"/>
          <w:sz w:val="18"/>
          <w:szCs w:val="18"/>
          <w:b w:val="1"/>
          <w:bCs w:val="1"/>
          <w:color w:val="auto"/>
        </w:rPr>
        <w:t>Development Continuation Notice</w:t>
      </w:r>
      <w:r>
        <w:rPr>
          <w:rFonts w:ascii="Times New Roman" w:cs="Times New Roman" w:eastAsia="Times New Roman" w:hAnsi="Times New Roman"/>
          <w:sz w:val="18"/>
          <w:szCs w:val="18"/>
          <w:color w:val="auto"/>
        </w:rPr>
        <w:t>”). KALA may deliver a Development Continuation Notice at any time on or after the first business day of the third (3rd) month following the Effective Date. For the avoidance of doubt, KALA is under no obligation to deliver a Development Continuation Notice, and Younet shall have no claim against KALA for failing to do so. If KALA does not deliver a Development Continuation Notice, the Upfront Payment shall constitute the sole cash component of the Initial Fee and shall be full and complete cash consideration for the Initial Deliverables and the grant of the exclusive license during the Initial Term.</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both"/>
        <w:ind w:left="1300" w:hanging="644"/>
        <w:spacing w:after="0" w:line="26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Scope of Continued Development Services</w:t>
      </w:r>
      <w:r>
        <w:rPr>
          <w:rFonts w:ascii="Times New Roman" w:cs="Times New Roman" w:eastAsia="Times New Roman" w:hAnsi="Times New Roman"/>
          <w:sz w:val="18"/>
          <w:szCs w:val="18"/>
          <w:color w:val="auto"/>
        </w:rPr>
        <w:t>. Upon delivery of a Development Continuation Notice, the Development Continuation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shall cover Younet’s continued development, customization, optimization, and enhancement of the Platform during the remainder of the Initial Term, including the allocation of dedicated development personnel and resources as reasonably necessary. The specific development priorities and deliverables for each month shall be agreed in writing between the Parties, acting reasonably.</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Discontinuation</w:t>
      </w:r>
      <w:r>
        <w:rPr>
          <w:rFonts w:ascii="Times New Roman" w:cs="Times New Roman" w:eastAsia="Times New Roman" w:hAnsi="Times New Roman"/>
          <w:sz w:val="18"/>
          <w:szCs w:val="18"/>
          <w:color w:val="auto"/>
        </w:rPr>
        <w:t>. KALA may discontinue the Development Continuation Payments at any time upon thirty (30) days’ prior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to Younet. Upon such discontinuation, KALA shall pay any installment that has become due prior to the effective date of discontinuation, but shall have no obligation to pay any further installments. Younet’s obligation to provide continued development services under this Section 4.01 shall cease upon the effective date of such discontinuation.</w:t>
      </w:r>
    </w:p>
    <w:p>
      <w:pPr>
        <w:spacing w:after="0" w:line="176"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4.02</w:t>
      </w:r>
      <w:r>
        <w:rPr>
          <w:sz w:val="20"/>
          <w:szCs w:val="20"/>
          <w:color w:val="auto"/>
        </w:rPr>
        <w:tab/>
      </w:r>
      <w:r>
        <w:rPr>
          <w:rFonts w:ascii="Times New Roman" w:cs="Times New Roman" w:eastAsia="Times New Roman" w:hAnsi="Times New Roman"/>
          <w:sz w:val="18"/>
          <w:szCs w:val="18"/>
          <w:b w:val="1"/>
          <w:bCs w:val="1"/>
          <w:color w:val="auto"/>
        </w:rPr>
        <w:t xml:space="preserve">Initial Shares. </w:t>
      </w:r>
      <w:r>
        <w:rPr>
          <w:rFonts w:ascii="Times New Roman" w:cs="Times New Roman" w:eastAsia="Times New Roman" w:hAnsi="Times New Roman"/>
          <w:sz w:val="18"/>
          <w:szCs w:val="18"/>
          <w:color w:val="auto"/>
        </w:rPr>
        <w:t>In addition to the Initial Fee, KALA shall issue to Younet (or its designee) Five Million (5,000,000) shares of KALA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(the “</w:t>
      </w:r>
      <w:r>
        <w:rPr>
          <w:rFonts w:ascii="Times New Roman" w:cs="Times New Roman" w:eastAsia="Times New Roman" w:hAnsi="Times New Roman"/>
          <w:sz w:val="18"/>
          <w:szCs w:val="18"/>
          <w:b w:val="1"/>
          <w:bCs w:val="1"/>
          <w:color w:val="auto"/>
        </w:rPr>
        <w:t>Initial Shares</w:t>
      </w:r>
      <w:r>
        <w:rPr>
          <w:rFonts w:ascii="Times New Roman" w:cs="Times New Roman" w:eastAsia="Times New Roman" w:hAnsi="Times New Roman"/>
          <w:sz w:val="18"/>
          <w:szCs w:val="18"/>
          <w:color w:val="auto"/>
        </w:rPr>
        <w:t>”) within ten (10) business days of the Effective Date. The Initial Shares constitute additional consideration for the Initial Deliverables and the grant of the exclusive license during the Initial Term.</w:t>
      </w:r>
    </w:p>
    <w:p>
      <w:pPr>
        <w:spacing w:after="0" w:line="171"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4.03</w:t>
      </w:r>
      <w:r>
        <w:rPr>
          <w:sz w:val="20"/>
          <w:szCs w:val="20"/>
          <w:color w:val="auto"/>
        </w:rPr>
        <w:tab/>
      </w:r>
      <w:r>
        <w:rPr>
          <w:rFonts w:ascii="Times New Roman" w:cs="Times New Roman" w:eastAsia="Times New Roman" w:hAnsi="Times New Roman"/>
          <w:sz w:val="18"/>
          <w:szCs w:val="18"/>
          <w:b w:val="1"/>
          <w:bCs w:val="1"/>
          <w:color w:val="auto"/>
        </w:rPr>
        <w:t xml:space="preserve">Extension Fee. </w:t>
      </w:r>
      <w:r>
        <w:rPr>
          <w:rFonts w:ascii="Times New Roman" w:cs="Times New Roman" w:eastAsia="Times New Roman" w:hAnsi="Times New Roman"/>
          <w:sz w:val="18"/>
          <w:szCs w:val="18"/>
          <w:color w:val="auto"/>
        </w:rPr>
        <w:t>If KALA elects to extend this Agreement for a Renewal Term, KALA shall pay Younet the following for each Renewal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Extension Fee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300" w:hanging="644"/>
        <w:spacing w:after="0" w:line="28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Payment</w:t>
      </w:r>
      <w:r>
        <w:rPr>
          <w:rFonts w:ascii="Times New Roman" w:cs="Times New Roman" w:eastAsia="Times New Roman" w:hAnsi="Times New Roman"/>
          <w:sz w:val="18"/>
          <w:szCs w:val="18"/>
          <w:color w:val="auto"/>
        </w:rPr>
        <w:t>: Two Hundred Fifty Thousand United States Dollars (US$250,000.00), due and payable upon delivery of the Extension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and</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Extension Shares</w:t>
      </w:r>
      <w:r>
        <w:rPr>
          <w:rFonts w:ascii="Times New Roman" w:cs="Times New Roman" w:eastAsia="Times New Roman" w:hAnsi="Times New Roman"/>
          <w:sz w:val="18"/>
          <w:szCs w:val="18"/>
          <w:color w:val="auto"/>
        </w:rPr>
        <w:t>: Five Million (5,000,000) shares of KALA common stock, to be issued within ten (10) business days of KALA’s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the Extension Notice.</w:t>
      </w:r>
    </w:p>
    <w:p>
      <w:pPr>
        <w:spacing w:after="0" w:line="15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avoidance of doubt, KALA is under no obligation to pay any Extension Fee or to extend this Agreement beyond the Initial Term. Each Extension Fee is payable only if and when KALA voluntarily elects to extend by delivering an Extension Notice.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ind w:left="640" w:right="2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4.04</w:t>
      </w:r>
      <w:r>
        <w:rPr>
          <w:sz w:val="20"/>
          <w:szCs w:val="20"/>
          <w:color w:val="auto"/>
        </w:rPr>
        <w:tab/>
      </w:r>
      <w:r>
        <w:rPr>
          <w:rFonts w:ascii="Times New Roman" w:cs="Times New Roman" w:eastAsia="Times New Roman" w:hAnsi="Times New Roman"/>
          <w:sz w:val="18"/>
          <w:szCs w:val="18"/>
          <w:b w:val="1"/>
          <w:bCs w:val="1"/>
          <w:color w:val="auto"/>
        </w:rPr>
        <w:t xml:space="preserve">Share Terms. </w:t>
      </w:r>
      <w:r>
        <w:rPr>
          <w:rFonts w:ascii="Times New Roman" w:cs="Times New Roman" w:eastAsia="Times New Roman" w:hAnsi="Times New Roman"/>
          <w:sz w:val="18"/>
          <w:szCs w:val="18"/>
          <w:color w:val="auto"/>
        </w:rPr>
        <w:t>All shares of KALA common stock issued under this Article 4 (whether Initial Shares or Extension Shares, collectively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be subject to the following terms and conditions:</w:t>
      </w:r>
    </w:p>
    <w:p>
      <w:pPr>
        <w:spacing w:after="0" w:line="155" w:lineRule="exact"/>
        <w:rPr>
          <w:sz w:val="20"/>
          <w:szCs w:val="20"/>
          <w:color w:val="auto"/>
        </w:rPr>
      </w:pPr>
    </w:p>
    <w:p>
      <w:pPr>
        <w:ind w:left="1280" w:right="20" w:hanging="644"/>
        <w:spacing w:after="0" w:line="286"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The Shares shall be “restricted securities” as defined under Rule 144 of the Securities Act and shall bear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restrictive legend:</w:t>
      </w:r>
    </w:p>
    <w:p>
      <w:pPr>
        <w:spacing w:after="0" w:line="158" w:lineRule="exact"/>
        <w:rPr>
          <w:rFonts w:ascii="Times New Roman" w:cs="Times New Roman" w:eastAsia="Times New Roman" w:hAnsi="Times New Roman"/>
          <w:sz w:val="18"/>
          <w:szCs w:val="18"/>
          <w:color w:val="auto"/>
        </w:rPr>
      </w:pPr>
    </w:p>
    <w:p>
      <w:pPr>
        <w:jc w:val="both"/>
        <w:ind w:left="12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REPRESENTED HEREBY HAVE NOT BEEN REGISTERED UNDER THE SECURITIES ACT OF 1933, AS AMENDED (THE “ACT”), OR UNDER THE SECURITIES LAWS OF ANY STATE. THESE SHARES MAY NOT BE OFFERED, SOLD, ASSIGNED, TRANSFERRED, PLEDGED, ENCUMBERED, OR OTHERWISE DISPOSED OF EXCEPT PURSUANT TO AN EFFECTIVE REGISTRATION STATEMENT UNDER THE ACT AND APPLICABLE STATE SECURITIES LAWS OR PURSUANT TO AN APPLICABLE EXEMPTION FROM THE REGISTRATION REQUIREMENTS OF THE ACT AND SUCH LAWS.”</w:t>
      </w:r>
    </w:p>
    <w:p>
      <w:pPr>
        <w:spacing w:after="0" w:line="183" w:lineRule="exact"/>
        <w:rPr>
          <w:rFonts w:ascii="Times New Roman" w:cs="Times New Roman" w:eastAsia="Times New Roman" w:hAnsi="Times New Roman"/>
          <w:sz w:val="18"/>
          <w:szCs w:val="18"/>
          <w:color w:val="auto"/>
        </w:rPr>
      </w:pPr>
    </w:p>
    <w:p>
      <w:pPr>
        <w:ind w:left="1280" w:right="20" w:hanging="644"/>
        <w:spacing w:after="0" w:line="286"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Timing</w:t>
      </w:r>
      <w:r>
        <w:rPr>
          <w:rFonts w:ascii="Times New Roman" w:cs="Times New Roman" w:eastAsia="Times New Roman" w:hAnsi="Times New Roman"/>
          <w:sz w:val="18"/>
          <w:szCs w:val="18"/>
          <w:color w:val="auto"/>
        </w:rPr>
        <w:t>. The Shares shall be issued within ten (10) business days following the Effective Date or the Extension Notice,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w:t>
      </w:r>
    </w:p>
    <w:p>
      <w:pPr>
        <w:spacing w:after="0" w:line="154" w:lineRule="exact"/>
        <w:rPr>
          <w:rFonts w:ascii="Times New Roman" w:cs="Times New Roman" w:eastAsia="Times New Roman" w:hAnsi="Times New Roman"/>
          <w:sz w:val="18"/>
          <w:szCs w:val="18"/>
          <w:color w:val="auto"/>
        </w:rPr>
      </w:pPr>
    </w:p>
    <w:p>
      <w:pPr>
        <w:jc w:val="both"/>
        <w:ind w:left="1280" w:hanging="644"/>
        <w:spacing w:after="0" w:line="257"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 Representations</w:t>
      </w:r>
      <w:r>
        <w:rPr>
          <w:rFonts w:ascii="Times New Roman" w:cs="Times New Roman" w:eastAsia="Times New Roman" w:hAnsi="Times New Roman"/>
          <w:sz w:val="18"/>
          <w:szCs w:val="18"/>
          <w:color w:val="auto"/>
        </w:rPr>
        <w:t>. Younet (or its designee) represents and warrants that: (i) it is acquiring the Shares for its own account,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purposes only, and not with a view to distribution or resale; (ii) it is an “accredited investor” as defined in Rule 501(a) of Regulation D under the Securities Act; (iii) it has such knowledge and experience in financial and business matters as to be capable of evaluating the merits and risks of the investment; (iv) it understands that the Shares have not been registered under the Securities Act and may not be resold absent registration or an applicable exemption; and (v) it can bear the economic risk of holding the Shares for an indefinite period.</w:t>
      </w:r>
    </w:p>
    <w:p>
      <w:pPr>
        <w:spacing w:after="0" w:line="182" w:lineRule="exact"/>
        <w:rPr>
          <w:rFonts w:ascii="Times New Roman" w:cs="Times New Roman" w:eastAsia="Times New Roman" w:hAnsi="Times New Roman"/>
          <w:sz w:val="18"/>
          <w:szCs w:val="18"/>
          <w:color w:val="auto"/>
        </w:rPr>
      </w:pPr>
    </w:p>
    <w:p>
      <w:pPr>
        <w:jc w:val="both"/>
        <w:ind w:left="1280" w:hanging="644"/>
        <w:spacing w:after="0" w:line="262"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Nasdaq Rules</w:t>
      </w:r>
      <w:r>
        <w:rPr>
          <w:rFonts w:ascii="Times New Roman" w:cs="Times New Roman" w:eastAsia="Times New Roman" w:hAnsi="Times New Roman"/>
          <w:sz w:val="18"/>
          <w:szCs w:val="18"/>
          <w:color w:val="auto"/>
        </w:rPr>
        <w:t>. The issuance of the Shares shall be subject to compliance with all applicable Nasdaq Listing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Rule 5635(c) and Rule 5635(d). In the event that shareholder approval is required for the issuance of the Shares under applicable Nasdaq rules, the Parties shall cooperate in good faith to obtain such approval or to restructure the equity compensation in a manner that does not require shareholder approval.</w:t>
      </w:r>
    </w:p>
    <w:p>
      <w:pPr>
        <w:spacing w:after="0" w:line="176" w:lineRule="exact"/>
        <w:rPr>
          <w:rFonts w:ascii="Times New Roman" w:cs="Times New Roman" w:eastAsia="Times New Roman" w:hAnsi="Times New Roman"/>
          <w:sz w:val="18"/>
          <w:szCs w:val="18"/>
          <w:color w:val="auto"/>
        </w:rPr>
      </w:pPr>
    </w:p>
    <w:p>
      <w:pPr>
        <w:ind w:left="1280" w:hanging="644"/>
        <w:spacing w:after="0" w:line="286"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4(a)(2) Exemption</w:t>
      </w:r>
      <w:r>
        <w:rPr>
          <w:rFonts w:ascii="Times New Roman" w:cs="Times New Roman" w:eastAsia="Times New Roman" w:hAnsi="Times New Roman"/>
          <w:sz w:val="18"/>
          <w:szCs w:val="18"/>
          <w:color w:val="auto"/>
        </w:rPr>
        <w:t>. The Shares shall be issued in reliance on the exemption from registration provided by Section 4(a)(2)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and/or Rule 506(b) of Regulation D promulgated thereunder.</w:t>
      </w:r>
    </w:p>
    <w:p>
      <w:pPr>
        <w:spacing w:after="0" w:line="154" w:lineRule="exact"/>
        <w:rPr>
          <w:rFonts w:ascii="Times New Roman" w:cs="Times New Roman" w:eastAsia="Times New Roman" w:hAnsi="Times New Roman"/>
          <w:sz w:val="18"/>
          <w:szCs w:val="18"/>
          <w:color w:val="auto"/>
        </w:rPr>
      </w:pPr>
    </w:p>
    <w:p>
      <w:pPr>
        <w:jc w:val="both"/>
        <w:ind w:left="1280" w:hanging="644"/>
        <w:spacing w:after="0" w:line="259"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Orderly Market Restriction</w:t>
      </w:r>
      <w:r>
        <w:rPr>
          <w:rFonts w:ascii="Times New Roman" w:cs="Times New Roman" w:eastAsia="Times New Roman" w:hAnsi="Times New Roman"/>
          <w:sz w:val="18"/>
          <w:szCs w:val="18"/>
          <w:color w:val="auto"/>
        </w:rPr>
        <w:t>. Younet hereby covenants and agrees that, for the duration of the Term and for a period of twelve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following the expiration or termination of this Agreement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Younet shall not, and shall cause its affiliates and designees (including any transferee or nominee that received Shares at Younet’s direction) not to, sell, transfer, or otherwise dispose of on any Trading Day a number of shares of KALA common stock (whether received as Initial Shares, or Extension Shares) that exceeds three percent (3%) of the Daily Trading Volume for such Trading Day (the “</w:t>
      </w:r>
      <w:r>
        <w:rPr>
          <w:rFonts w:ascii="Times New Roman" w:cs="Times New Roman" w:eastAsia="Times New Roman" w:hAnsi="Times New Roman"/>
          <w:sz w:val="18"/>
          <w:szCs w:val="18"/>
          <w:b w:val="1"/>
          <w:bCs w:val="1"/>
          <w:color w:val="auto"/>
        </w:rPr>
        <w:t>Daily Volume Cap</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92" w:right="339" w:bottom="1440" w:gutter="0" w:footer="0" w:header="0"/>
        </w:sectPr>
      </w:pPr>
    </w:p>
    <w:bookmarkStart w:id="16" w:name="page17"/>
    <w:bookmarkEnd w:id="16"/>
    <w:p>
      <w:pPr>
        <w:ind w:left="1280"/>
        <w:spacing w:after="0"/>
        <w:rPr>
          <w:sz w:val="20"/>
          <w:szCs w:val="20"/>
          <w:color w:val="auto"/>
        </w:rPr>
      </w:pPr>
      <w:r>
        <w:rPr>
          <w:rFonts w:ascii="Times New Roman" w:cs="Times New Roman" w:eastAsia="Times New Roman" w:hAnsi="Times New Roman"/>
          <w:sz w:val="18"/>
          <w:szCs w:val="18"/>
          <w:color w:val="auto"/>
        </w:rPr>
        <w:t>For purposes of this Section 4.04(f):</w:t>
      </w:r>
    </w:p>
    <w:p>
      <w:pPr>
        <w:spacing w:after="0" w:line="221" w:lineRule="exact"/>
        <w:rPr>
          <w:sz w:val="20"/>
          <w:szCs w:val="20"/>
          <w:color w:val="auto"/>
        </w:rPr>
      </w:pPr>
    </w:p>
    <w:p>
      <w:pPr>
        <w:ind w:left="1940" w:hanging="656"/>
        <w:spacing w:after="0" w:line="286" w:lineRule="auto"/>
        <w:tabs>
          <w:tab w:leader="none" w:pos="1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Nasdaq Stock Market (or such other principal market on which KALA common stock is then listed) is open for trading;</w:t>
      </w:r>
    </w:p>
    <w:p>
      <w:pPr>
        <w:spacing w:after="0" w:line="154" w:lineRule="exact"/>
        <w:rPr>
          <w:rFonts w:ascii="Times New Roman" w:cs="Times New Roman" w:eastAsia="Times New Roman" w:hAnsi="Times New Roman"/>
          <w:sz w:val="18"/>
          <w:szCs w:val="18"/>
          <w:color w:val="auto"/>
        </w:rPr>
      </w:pPr>
    </w:p>
    <w:p>
      <w:pPr>
        <w:jc w:val="both"/>
        <w:ind w:left="1940" w:right="20" w:hanging="656"/>
        <w:spacing w:after="0" w:line="268" w:lineRule="auto"/>
        <w:tabs>
          <w:tab w:leader="none" w:pos="1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Trading Volume</w:t>
      </w:r>
      <w:r>
        <w:rPr>
          <w:rFonts w:ascii="Times New Roman" w:cs="Times New Roman" w:eastAsia="Times New Roman" w:hAnsi="Times New Roman"/>
          <w:sz w:val="18"/>
          <w:szCs w:val="18"/>
          <w:color w:val="auto"/>
        </w:rPr>
        <w:t>” means the total reported trading volume of KALA common stock on the Nasdaq Stock Market (or such other principal market on which KALA common stock is then listed) on the applicable Trading Day, as reported by Nasdaq or a nationally recognized market data provider;</w:t>
      </w:r>
    </w:p>
    <w:p>
      <w:pPr>
        <w:spacing w:after="0" w:line="174" w:lineRule="exact"/>
        <w:rPr>
          <w:rFonts w:ascii="Times New Roman" w:cs="Times New Roman" w:eastAsia="Times New Roman" w:hAnsi="Times New Roman"/>
          <w:sz w:val="18"/>
          <w:szCs w:val="18"/>
          <w:color w:val="auto"/>
        </w:rPr>
      </w:pPr>
    </w:p>
    <w:p>
      <w:pPr>
        <w:jc w:val="both"/>
        <w:ind w:left="1940" w:hanging="656"/>
        <w:spacing w:after="0" w:line="261" w:lineRule="auto"/>
        <w:tabs>
          <w:tab w:leader="none" w:pos="1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Daily Trading Volume for any Trading Day is not determinable until after the close of trading, Younet may, for the purpose of compliance with this Section 4.04(f), rely in good faith on the prior Trading Day’s reported volume as a reasonable estimate, provided that any excess over the Daily Volume Cap based on actual reported volume shall be cured by reducing sales on the immediately following Trading Day(s) by the excess amount;</w:t>
      </w:r>
    </w:p>
    <w:p>
      <w:pPr>
        <w:spacing w:after="0" w:line="179" w:lineRule="exact"/>
        <w:rPr>
          <w:rFonts w:ascii="Times New Roman" w:cs="Times New Roman" w:eastAsia="Times New Roman" w:hAnsi="Times New Roman"/>
          <w:sz w:val="18"/>
          <w:szCs w:val="18"/>
          <w:color w:val="auto"/>
        </w:rPr>
      </w:pPr>
    </w:p>
    <w:p>
      <w:pPr>
        <w:jc w:val="both"/>
        <w:ind w:left="1940" w:right="20" w:hanging="656"/>
        <w:spacing w:after="0" w:line="266" w:lineRule="auto"/>
        <w:tabs>
          <w:tab w:leader="none" w:pos="1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effected pursuant to a bona fide block trade arranged through a registered broker-dealer at a price at or above the then-current market price, with KALA’s prior written consent (not to be unreasonably withheld), shall not be subject to the Daily Volume Cap;</w:t>
      </w:r>
    </w:p>
    <w:p>
      <w:pPr>
        <w:spacing w:after="0" w:line="175" w:lineRule="exact"/>
        <w:rPr>
          <w:rFonts w:ascii="Times New Roman" w:cs="Times New Roman" w:eastAsia="Times New Roman" w:hAnsi="Times New Roman"/>
          <w:sz w:val="18"/>
          <w:szCs w:val="18"/>
          <w:color w:val="auto"/>
        </w:rPr>
      </w:pPr>
    </w:p>
    <w:p>
      <w:pPr>
        <w:jc w:val="both"/>
        <w:ind w:left="1940" w:hanging="656"/>
        <w:spacing w:after="0" w:line="266" w:lineRule="auto"/>
        <w:tabs>
          <w:tab w:leader="none" w:pos="1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Younet shall maintain, and shall cause its broker(s) to maintain, records of all sales of KALA common stock sufficient to demonstrate compliance with this Section 4.04(f), and shall provide such records to KALA within five (5) business days of written request; and</w:t>
      </w:r>
    </w:p>
    <w:p>
      <w:pPr>
        <w:spacing w:after="0" w:line="175" w:lineRule="exact"/>
        <w:rPr>
          <w:rFonts w:ascii="Times New Roman" w:cs="Times New Roman" w:eastAsia="Times New Roman" w:hAnsi="Times New Roman"/>
          <w:sz w:val="18"/>
          <w:szCs w:val="18"/>
          <w:color w:val="auto"/>
        </w:rPr>
      </w:pPr>
    </w:p>
    <w:p>
      <w:pPr>
        <w:jc w:val="both"/>
        <w:ind w:left="1940" w:hanging="656"/>
        <w:spacing w:after="0" w:line="266" w:lineRule="auto"/>
        <w:tabs>
          <w:tab w:leader="none" w:pos="1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this Section 4.04(f) shall constitute a material breach of this Agreement, entitling KALA, in addition to all other rights and remedies at law or in equity, to seek injunctive relief without the necessity of posting a bond or proving actual damages.</w:t>
      </w:r>
    </w:p>
    <w:p>
      <w:pPr>
        <w:spacing w:after="0" w:line="172"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4.05</w:t>
      </w:r>
      <w:r>
        <w:rPr>
          <w:sz w:val="20"/>
          <w:szCs w:val="20"/>
          <w:color w:val="auto"/>
        </w:rPr>
        <w:tab/>
      </w:r>
      <w:r>
        <w:rPr>
          <w:rFonts w:ascii="Times New Roman" w:cs="Times New Roman" w:eastAsia="Times New Roman" w:hAnsi="Times New Roman"/>
          <w:sz w:val="18"/>
          <w:szCs w:val="18"/>
          <w:b w:val="1"/>
          <w:bCs w:val="1"/>
          <w:color w:val="auto"/>
        </w:rPr>
        <w:t>Infrastructure and Support Costs</w:t>
      </w:r>
      <w:r>
        <w:rPr>
          <w:rFonts w:ascii="Times New Roman" w:cs="Times New Roman" w:eastAsia="Times New Roman" w:hAnsi="Times New Roman"/>
          <w:sz w:val="18"/>
          <w:szCs w:val="18"/>
          <w:color w:val="auto"/>
        </w:rPr>
        <w:t>. During the Initial Term, all infrastructure and support costs associated with the Initial Deliverables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3 (three) months shall be included in the Upfront Payment and the Initial Shares, and no additional monthly payments shall be owed by KALA. Any services outside of initial deliverables including continuous infrastructure and maintenance after initial 3 (three) months to be paid by KALA as a direct costs, under prior pre-agreed budget in writing. For the avoidance of doubt, the Development Continuation Payments payable under Section 4.01(b) (if elected by KALA) cover continued development services only and are separate from and in addition to any infrastructure and maintenance cost obligations under this Section 4.05. During each Renewal Term, all infrastructure, support, hosting, and LLM token usage costs shall be paid by KALA, under pre-approved budget in writing, unless otherwise agreed in writing.</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17" w:name="page18"/>
    <w:bookmarkEnd w:id="17"/>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4.06</w:t>
      </w:r>
      <w:r>
        <w:rPr>
          <w:sz w:val="20"/>
          <w:szCs w:val="20"/>
          <w:color w:val="auto"/>
        </w:rPr>
        <w:tab/>
      </w:r>
      <w:r>
        <w:rPr>
          <w:rFonts w:ascii="Times New Roman" w:cs="Times New Roman" w:eastAsia="Times New Roman" w:hAnsi="Times New Roman"/>
          <w:sz w:val="18"/>
          <w:szCs w:val="18"/>
          <w:b w:val="1"/>
          <w:bCs w:val="1"/>
          <w:color w:val="auto"/>
        </w:rPr>
        <w:t xml:space="preserve">Additional Services. </w:t>
      </w:r>
      <w:r>
        <w:rPr>
          <w:rFonts w:ascii="Times New Roman" w:cs="Times New Roman" w:eastAsia="Times New Roman" w:hAnsi="Times New Roman"/>
          <w:sz w:val="18"/>
          <w:szCs w:val="18"/>
          <w:color w:val="auto"/>
        </w:rPr>
        <w:t>Any additional R&amp;D consulting, data science, or custom development services beyond the Renewal Deliverables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 separately negotiated written agreement or change order specifying the scope, timeline, and additional compensation for such services</w:t>
      </w:r>
    </w:p>
    <w:p>
      <w:pPr>
        <w:spacing w:after="0" w:line="15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4.07</w:t>
      </w:r>
      <w:r>
        <w:rPr>
          <w:sz w:val="20"/>
          <w:szCs w:val="20"/>
          <w:color w:val="auto"/>
        </w:rPr>
        <w:tab/>
      </w:r>
      <w:r>
        <w:rPr>
          <w:rFonts w:ascii="Times New Roman" w:cs="Times New Roman" w:eastAsia="Times New Roman" w:hAnsi="Times New Roman"/>
          <w:sz w:val="18"/>
          <w:szCs w:val="18"/>
          <w:b w:val="1"/>
          <w:bCs w:val="1"/>
          <w:color w:val="auto"/>
        </w:rPr>
        <w:t xml:space="preserve">Taxes. </w:t>
      </w:r>
      <w:r>
        <w:rPr>
          <w:rFonts w:ascii="Times New Roman" w:cs="Times New Roman" w:eastAsia="Times New Roman" w:hAnsi="Times New Roman"/>
          <w:sz w:val="18"/>
          <w:szCs w:val="18"/>
          <w:color w:val="auto"/>
        </w:rPr>
        <w:t>Each Party shall be responsible for its own taxes arising from the transactions contemplated by this Agreement. Younet acknowledges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of the Shares may give rise to tax obligations and that KALA has not provided, and will not provide, tax advice to Younet in connection therewith.</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ACQUISITION OPTION</w:t>
      </w:r>
    </w:p>
    <w:p>
      <w:pPr>
        <w:spacing w:after="0" w:line="203"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5.01</w:t>
      </w:r>
      <w:r>
        <w:rPr>
          <w:sz w:val="20"/>
          <w:szCs w:val="20"/>
          <w:color w:val="auto"/>
        </w:rPr>
        <w:tab/>
      </w:r>
      <w:r>
        <w:rPr>
          <w:rFonts w:ascii="Times New Roman" w:cs="Times New Roman" w:eastAsia="Times New Roman" w:hAnsi="Times New Roman"/>
          <w:sz w:val="18"/>
          <w:szCs w:val="18"/>
          <w:b w:val="1"/>
          <w:bCs w:val="1"/>
          <w:color w:val="auto"/>
        </w:rPr>
        <w:t xml:space="preserve">Grant of Option. </w:t>
      </w:r>
      <w:r>
        <w:rPr>
          <w:rFonts w:ascii="Times New Roman" w:cs="Times New Roman" w:eastAsia="Times New Roman" w:hAnsi="Times New Roman"/>
          <w:sz w:val="18"/>
          <w:szCs w:val="18"/>
          <w:color w:val="auto"/>
        </w:rPr>
        <w:t>Younet hereby grants to KALA an irrevocable option (the “</w:t>
      </w:r>
      <w:r>
        <w:rPr>
          <w:rFonts w:ascii="Times New Roman" w:cs="Times New Roman" w:eastAsia="Times New Roman" w:hAnsi="Times New Roman"/>
          <w:sz w:val="18"/>
          <w:szCs w:val="18"/>
          <w:b w:val="1"/>
          <w:bCs w:val="1"/>
          <w:color w:val="auto"/>
        </w:rPr>
        <w:t>Acquisition Option</w:t>
      </w:r>
      <w:r>
        <w:rPr>
          <w:rFonts w:ascii="Times New Roman" w:cs="Times New Roman" w:eastAsia="Times New Roman" w:hAnsi="Times New Roman"/>
          <w:sz w:val="18"/>
          <w:szCs w:val="18"/>
          <w:color w:val="auto"/>
        </w:rPr>
        <w:t>”), exercisable at any time during the Term,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all of the issued and outstanding equity interests of Younet (or, at KALA’s election, substantially all of the assets of Younet) for a total purchase price of Fifty Five Million United States Dollars (US$55,000,000) (the “</w:t>
      </w: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 subject to the terms of this Article 5.</w:t>
      </w:r>
    </w:p>
    <w:p>
      <w:pPr>
        <w:spacing w:after="0" w:line="17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5.02</w:t>
      </w:r>
      <w:r>
        <w:rPr>
          <w:sz w:val="20"/>
          <w:szCs w:val="20"/>
          <w:color w:val="auto"/>
        </w:rPr>
        <w:tab/>
      </w:r>
      <w:r>
        <w:rPr>
          <w:rFonts w:ascii="Times New Roman" w:cs="Times New Roman" w:eastAsia="Times New Roman" w:hAnsi="Times New Roman"/>
          <w:sz w:val="18"/>
          <w:szCs w:val="18"/>
          <w:b w:val="1"/>
          <w:bCs w:val="1"/>
          <w:color w:val="auto"/>
        </w:rPr>
        <w:t xml:space="preserve">Exercise. </w:t>
      </w:r>
      <w:r>
        <w:rPr>
          <w:rFonts w:ascii="Times New Roman" w:cs="Times New Roman" w:eastAsia="Times New Roman" w:hAnsi="Times New Roman"/>
          <w:sz w:val="18"/>
          <w:szCs w:val="18"/>
          <w:color w:val="auto"/>
        </w:rPr>
        <w:t>KALA may exercise the Acquisition Option by delivering written notice to Younet (an “</w:t>
      </w:r>
      <w:r>
        <w:rPr>
          <w:rFonts w:ascii="Times New Roman" w:cs="Times New Roman" w:eastAsia="Times New Roman" w:hAnsi="Times New Roman"/>
          <w:sz w:val="18"/>
          <w:szCs w:val="18"/>
          <w:b w:val="1"/>
          <w:bCs w:val="1"/>
          <w:color w:val="auto"/>
        </w:rPr>
        <w:t>Option Exercise Notice</w:t>
      </w:r>
      <w:r>
        <w:rPr>
          <w:rFonts w:ascii="Times New Roman" w:cs="Times New Roman" w:eastAsia="Times New Roman" w:hAnsi="Times New Roman"/>
          <w:sz w:val="18"/>
          <w:szCs w:val="18"/>
          <w:color w:val="auto"/>
        </w:rPr>
        <w:t>”) at any time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 Upon delivery of an Option Exercise Notice, the Parties shall negotiate in good faith the definitive terms and conditions of the acquisition (including representations, warranties, covenants, closing conditions, and indemnification) and shall use commercially reasonable efforts to execute a definitive purchase agreement within ninety (90) days of the Option Exercise Notice (or such longer period as the Parties may agree in writing).</w:t>
      </w:r>
    </w:p>
    <w:p>
      <w:pPr>
        <w:spacing w:after="0" w:line="179"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5.03</w:t>
      </w:r>
      <w:r>
        <w:rPr>
          <w:sz w:val="20"/>
          <w:szCs w:val="20"/>
          <w:color w:val="auto"/>
        </w:rPr>
        <w:tab/>
      </w:r>
      <w:r>
        <w:rPr>
          <w:rFonts w:ascii="Times New Roman" w:cs="Times New Roman" w:eastAsia="Times New Roman" w:hAnsi="Times New Roman"/>
          <w:sz w:val="18"/>
          <w:szCs w:val="18"/>
          <w:b w:val="1"/>
          <w:bCs w:val="1"/>
          <w:color w:val="auto"/>
        </w:rPr>
        <w:t xml:space="preserve">Good Faith Negotiation. </w:t>
      </w:r>
      <w:r>
        <w:rPr>
          <w:rFonts w:ascii="Times New Roman" w:cs="Times New Roman" w:eastAsia="Times New Roman" w:hAnsi="Times New Roman"/>
          <w:sz w:val="18"/>
          <w:szCs w:val="18"/>
          <w:color w:val="auto"/>
        </w:rPr>
        <w:t>The Parties acknowledge that the Option Price reflects the aggregate consideration for the acquisition and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definitive terms, including the allocation of the Option Price between cash and equity (if any), the structure of the transaction, representations and warranties, indemnification, and closing conditions, shall be negotiated in good faith following delivery of the Option Exercise Notice. Neither Party shall unreasonably withhold, condition, or delay its cooperation in such negotiations.</w:t>
      </w:r>
    </w:p>
    <w:p>
      <w:pPr>
        <w:spacing w:after="0" w:line="176"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5.04</w:t>
      </w:r>
      <w:r>
        <w:rPr>
          <w:sz w:val="20"/>
          <w:szCs w:val="20"/>
          <w:color w:val="auto"/>
        </w:rPr>
        <w:tab/>
      </w:r>
      <w:r>
        <w:rPr>
          <w:rFonts w:ascii="Times New Roman" w:cs="Times New Roman" w:eastAsia="Times New Roman" w:hAnsi="Times New Roman"/>
          <w:sz w:val="18"/>
          <w:szCs w:val="18"/>
          <w:b w:val="1"/>
          <w:bCs w:val="1"/>
          <w:color w:val="auto"/>
        </w:rPr>
        <w:t xml:space="preserve">Shareholder Approval. </w:t>
      </w:r>
      <w:r>
        <w:rPr>
          <w:rFonts w:ascii="Times New Roman" w:cs="Times New Roman" w:eastAsia="Times New Roman" w:hAnsi="Times New Roman"/>
          <w:sz w:val="18"/>
          <w:szCs w:val="18"/>
          <w:color w:val="auto"/>
        </w:rPr>
        <w:t>If the exercise of the Acquisition Option or the consummation of the acquisition requires the approval of the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either Party under applicable law, stock exchange rules, or the organizational documents of such Party, each Party shall use its best efforts to obtain such approval, including by recommending the transaction to its shareholders, including the transaction in the next available proxy statement or information circular, and soliciting proxies in favor of approval.</w:t>
      </w:r>
    </w:p>
    <w:p>
      <w:pPr>
        <w:spacing w:after="0" w:line="176"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5.05</w:t>
      </w:r>
      <w:r>
        <w:rPr>
          <w:sz w:val="20"/>
          <w:szCs w:val="20"/>
          <w:color w:val="auto"/>
        </w:rPr>
        <w:tab/>
      </w:r>
      <w:r>
        <w:rPr>
          <w:rFonts w:ascii="Times New Roman" w:cs="Times New Roman" w:eastAsia="Times New Roman" w:hAnsi="Times New Roman"/>
          <w:sz w:val="18"/>
          <w:szCs w:val="18"/>
          <w:b w:val="1"/>
          <w:bCs w:val="1"/>
          <w:color w:val="auto"/>
        </w:rPr>
        <w:t xml:space="preserve">Regulatory Approvals. </w:t>
      </w:r>
      <w:r>
        <w:rPr>
          <w:rFonts w:ascii="Times New Roman" w:cs="Times New Roman" w:eastAsia="Times New Roman" w:hAnsi="Times New Roman"/>
          <w:sz w:val="18"/>
          <w:szCs w:val="18"/>
          <w:color w:val="auto"/>
        </w:rPr>
        <w:t>The Parties shall cooperate in good faith to obtain all regulatory approvals required to consummate the acquisition,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approvals required under applicable antitrust, competition, or foreign investment laws.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5.06</w:t>
      </w:r>
      <w:r>
        <w:rPr>
          <w:sz w:val="20"/>
          <w:szCs w:val="20"/>
          <w:color w:val="auto"/>
        </w:rPr>
        <w:tab/>
      </w:r>
      <w:r>
        <w:rPr>
          <w:rFonts w:ascii="Times New Roman" w:cs="Times New Roman" w:eastAsia="Times New Roman" w:hAnsi="Times New Roman"/>
          <w:sz w:val="18"/>
          <w:szCs w:val="18"/>
          <w:b w:val="1"/>
          <w:bCs w:val="1"/>
          <w:color w:val="auto"/>
        </w:rPr>
        <w:t xml:space="preserve">Interim Obligations. </w:t>
      </w:r>
      <w:r>
        <w:rPr>
          <w:rFonts w:ascii="Times New Roman" w:cs="Times New Roman" w:eastAsia="Times New Roman" w:hAnsi="Times New Roman"/>
          <w:sz w:val="18"/>
          <w:szCs w:val="18"/>
          <w:color w:val="auto"/>
        </w:rPr>
        <w:t>From the date of delivery of an Option Exercise Notice until the earlier of (a) the closing of the acquisition and (b)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negotiations pursuant to Section 5.07, Younet shall conduct its business in the ordinary course consistent with past practice and shall not, without the prior written consent of KALA, (i) issue any equity interests or securities convertible into equity interests, (ii) enter into any material contract outside the ordinary course, (iii) dispose of any material assets, or (iv) take any action that would reasonably be expected to materially impair the value of Younet or the consummation of the acquisition.</w:t>
      </w:r>
    </w:p>
    <w:p>
      <w:pPr>
        <w:spacing w:after="0" w:line="179"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5.07</w:t>
      </w:r>
      <w:r>
        <w:rPr>
          <w:sz w:val="20"/>
          <w:szCs w:val="20"/>
          <w:color w:val="auto"/>
        </w:rPr>
        <w:tab/>
      </w:r>
      <w:r>
        <w:rPr>
          <w:rFonts w:ascii="Times New Roman" w:cs="Times New Roman" w:eastAsia="Times New Roman" w:hAnsi="Times New Roman"/>
          <w:sz w:val="18"/>
          <w:szCs w:val="18"/>
          <w:b w:val="1"/>
          <w:bCs w:val="1"/>
          <w:color w:val="auto"/>
        </w:rPr>
        <w:t xml:space="preserve">Failure to Agree. </w:t>
      </w:r>
      <w:r>
        <w:rPr>
          <w:rFonts w:ascii="Times New Roman" w:cs="Times New Roman" w:eastAsia="Times New Roman" w:hAnsi="Times New Roman"/>
          <w:sz w:val="18"/>
          <w:szCs w:val="18"/>
          <w:color w:val="auto"/>
        </w:rPr>
        <w:t>If the Parties, acting in good faith, are unable to agree on definitive terms within one hundred eighty (180) days of the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Notice (or such longer period as the Parties may agree), the Acquisition Option shall remain exercisable during the remainder of the Term and KALA may deliver a subsequent Option Exercise Notice at any time. For the avoidance of doubt, a failure to reach agreement on definitive terms shall not extinguish the Acquisition Option.</w:t>
      </w:r>
    </w:p>
    <w:p>
      <w:pPr>
        <w:spacing w:after="0" w:line="176"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5.08</w:t>
      </w:r>
      <w:r>
        <w:rPr>
          <w:sz w:val="20"/>
          <w:szCs w:val="20"/>
          <w:color w:val="auto"/>
        </w:rPr>
        <w:tab/>
      </w:r>
      <w:r>
        <w:rPr>
          <w:rFonts w:ascii="Times New Roman" w:cs="Times New Roman" w:eastAsia="Times New Roman" w:hAnsi="Times New Roman"/>
          <w:sz w:val="18"/>
          <w:szCs w:val="18"/>
          <w:b w:val="1"/>
          <w:bCs w:val="1"/>
          <w:color w:val="auto"/>
        </w:rPr>
        <w:t xml:space="preserve">Survival. </w:t>
      </w:r>
      <w:r>
        <w:rPr>
          <w:rFonts w:ascii="Times New Roman" w:cs="Times New Roman" w:eastAsia="Times New Roman" w:hAnsi="Times New Roman"/>
          <w:sz w:val="18"/>
          <w:szCs w:val="18"/>
          <w:color w:val="auto"/>
        </w:rPr>
        <w:t>The Acquisition Option shall terminate upon the expiration of the Term. The Acquisition Option is personal to KALA and may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assigned without the prior written consent of Younet, except in connection with a permitted assignment under Section 12.02.</w:t>
      </w:r>
    </w:p>
    <w:p>
      <w:pPr>
        <w:spacing w:after="0" w:line="15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5.09</w:t>
      </w:r>
      <w:r>
        <w:rPr>
          <w:sz w:val="20"/>
          <w:szCs w:val="20"/>
          <w:color w:val="auto"/>
        </w:rPr>
        <w:tab/>
      </w:r>
      <w:r>
        <w:rPr>
          <w:rFonts w:ascii="Times New Roman" w:cs="Times New Roman" w:eastAsia="Times New Roman" w:hAnsi="Times New Roman"/>
          <w:sz w:val="18"/>
          <w:szCs w:val="18"/>
          <w:b w:val="1"/>
          <w:bCs w:val="1"/>
          <w:color w:val="auto"/>
        </w:rPr>
        <w:t xml:space="preserve">Competing Purchase Offer; KALA Right of First Refusal. </w:t>
      </w:r>
      <w:r>
        <w:rPr>
          <w:rFonts w:ascii="Times New Roman" w:cs="Times New Roman" w:eastAsia="Times New Roman" w:hAnsi="Times New Roman"/>
          <w:sz w:val="18"/>
          <w:szCs w:val="18"/>
          <w:color w:val="auto"/>
        </w:rPr>
        <w:t>If, during the Term, Younet receives a bona fide written offer from a third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all or substantially all of the equity interests or assets of Younet on terms and conditions, including price, that are substantially similar to those set forth in this Agreement (a “</w:t>
      </w:r>
      <w:r>
        <w:rPr>
          <w:rFonts w:ascii="Times New Roman" w:cs="Times New Roman" w:eastAsia="Times New Roman" w:hAnsi="Times New Roman"/>
          <w:sz w:val="18"/>
          <w:szCs w:val="18"/>
          <w:b w:val="1"/>
          <w:bCs w:val="1"/>
          <w:color w:val="auto"/>
        </w:rPr>
        <w:t>Competing Offer</w:t>
      </w:r>
      <w:r>
        <w:rPr>
          <w:rFonts w:ascii="Times New Roman" w:cs="Times New Roman" w:eastAsia="Times New Roman" w:hAnsi="Times New Roman"/>
          <w:sz w:val="18"/>
          <w:szCs w:val="18"/>
          <w:color w:val="auto"/>
        </w:rPr>
        <w:t>”), Younet shall promptly provide KALA with written notice of such Competing Offer, including a copy of the offer and all material terms. Upon receipt of such notice, KALA shall have thirty (30) days to deliver written notice to Younet stating either (a) that KALA elects to exercise its Acquisition Option pursuant to Section 5.01 on the same terms as the Competing Offer, or (b) that KALA declines to exercise its Acquisition Option, in which case KALA’s Acquisition Option shall terminate and Younet shall be free to proceed with the Competing Offer. If KALA does not respond within the thirty (30) day period, KALA shall be deemed to have declined to exercise its Acquisition Option. For the avoidance of doubt, Younet shall not consummate any transaction pursuant to a Competing Offer unless and until KALA has either declined or failed to timely exercise its rights under this Section 5.09.</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3"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6.01</w:t>
      </w:r>
      <w:r>
        <w:rPr>
          <w:sz w:val="20"/>
          <w:szCs w:val="20"/>
          <w:color w:val="auto"/>
        </w:rPr>
        <w:tab/>
      </w:r>
      <w:r>
        <w:rPr>
          <w:rFonts w:ascii="Times New Roman" w:cs="Times New Roman" w:eastAsia="Times New Roman" w:hAnsi="Times New Roman"/>
          <w:sz w:val="18"/>
          <w:szCs w:val="18"/>
          <w:b w:val="1"/>
          <w:bCs w:val="1"/>
          <w:color w:val="auto"/>
        </w:rPr>
        <w:t xml:space="preserve">KALA Data. </w:t>
      </w:r>
      <w:r>
        <w:rPr>
          <w:rFonts w:ascii="Times New Roman" w:cs="Times New Roman" w:eastAsia="Times New Roman" w:hAnsi="Times New Roman"/>
          <w:sz w:val="18"/>
          <w:szCs w:val="18"/>
          <w:color w:val="auto"/>
        </w:rPr>
        <w:t>KALA retains all right, title, and interest in and to all KALA Data. Younet shall not use KALA Data for any purpose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performing its obligations under this Agreement. Upon termination or expiration of this Agreement, Younet shall promptly return or destroy all KALA Data in its possession, custody, or control, and shall certify such return or destruction in writing.</w:t>
      </w:r>
    </w:p>
    <w:p>
      <w:pPr>
        <w:spacing w:after="0" w:line="17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6.02</w:t>
      </w:r>
      <w:r>
        <w:rPr>
          <w:sz w:val="20"/>
          <w:szCs w:val="20"/>
          <w:color w:val="auto"/>
        </w:rPr>
        <w:tab/>
      </w:r>
      <w:r>
        <w:rPr>
          <w:rFonts w:ascii="Times New Roman" w:cs="Times New Roman" w:eastAsia="Times New Roman" w:hAnsi="Times New Roman"/>
          <w:sz w:val="18"/>
          <w:szCs w:val="18"/>
          <w:b w:val="1"/>
          <w:bCs w:val="1"/>
          <w:color w:val="auto"/>
        </w:rPr>
        <w:t xml:space="preserve">Platform IP — Work Product. </w:t>
      </w:r>
      <w:r>
        <w:rPr>
          <w:rFonts w:ascii="Times New Roman" w:cs="Times New Roman" w:eastAsia="Times New Roman" w:hAnsi="Times New Roman"/>
          <w:sz w:val="18"/>
          <w:szCs w:val="18"/>
          <w:color w:val="auto"/>
        </w:rPr>
        <w:t>All Deliverables, custom AI agents, biomedical-specific configurations, training data models, and other 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under Researgency platform developed by Younet specifically for KALA under this Agreement (collectively, “</w:t>
      </w:r>
      <w:r>
        <w:rPr>
          <w:rFonts w:ascii="Times New Roman" w:cs="Times New Roman" w:eastAsia="Times New Roman" w:hAnsi="Times New Roman"/>
          <w:sz w:val="18"/>
          <w:szCs w:val="18"/>
          <w:b w:val="1"/>
          <w:bCs w:val="1"/>
          <w:color w:val="auto"/>
        </w:rPr>
        <w:t>Work Product</w:t>
      </w:r>
      <w:r>
        <w:rPr>
          <w:rFonts w:ascii="Times New Roman" w:cs="Times New Roman" w:eastAsia="Times New Roman" w:hAnsi="Times New Roman"/>
          <w:sz w:val="18"/>
          <w:szCs w:val="18"/>
          <w:color w:val="auto"/>
        </w:rPr>
        <w:t>”) shall be the sole and exclusive property of KALA. Younet hereby assigns, and agrees to assign, to KALA all right, title, and interest in and to the Work Product, including all Intellectual Property rights therein. Younet shall execute all documents and take all actions reasonably necessary to perfect KALA’s ownership of the Work Product. KALA shall execute all documents and take all actions reasonably necessary to perfect/secure/transfer KALA’s ownership of the Work Product at Younet direction.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6.03</w:t>
      </w:r>
      <w:r>
        <w:rPr>
          <w:sz w:val="20"/>
          <w:szCs w:val="20"/>
          <w:color w:val="auto"/>
        </w:rPr>
        <w:tab/>
      </w:r>
      <w:r>
        <w:rPr>
          <w:rFonts w:ascii="Times New Roman" w:cs="Times New Roman" w:eastAsia="Times New Roman" w:hAnsi="Times New Roman"/>
          <w:sz w:val="18"/>
          <w:szCs w:val="18"/>
          <w:b w:val="1"/>
          <w:bCs w:val="1"/>
          <w:color w:val="auto"/>
        </w:rPr>
        <w:t>Younet Background IP</w:t>
      </w:r>
      <w:r>
        <w:rPr>
          <w:rFonts w:ascii="Times New Roman" w:cs="Times New Roman" w:eastAsia="Times New Roman" w:hAnsi="Times New Roman"/>
          <w:sz w:val="18"/>
          <w:szCs w:val="18"/>
          <w:color w:val="auto"/>
        </w:rPr>
        <w:t>. Younet retains all right, title, and interest in and to the Younet Background IP. To the extent that any Younet Background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IP is incorporated into or necessary for the operation of the Platform, Younet hereby grants to KALA a perpetual, irrevocable, worldwide, fully paid-up, but not including infrastructure and continuous support royalty-free license to use, modify at KALA’s cost, and sublicense upon Younet’s written approval, such approval not to be reasonably withheld, such Younet Background IP solely in connection with KALA’s use of the Platform within the Biotechnology Field.</w:t>
      </w:r>
    </w:p>
    <w:p>
      <w:pPr>
        <w:spacing w:after="0" w:line="179"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6.04</w:t>
      </w:r>
      <w:r>
        <w:rPr>
          <w:sz w:val="20"/>
          <w:szCs w:val="20"/>
          <w:color w:val="auto"/>
        </w:rPr>
        <w:tab/>
      </w:r>
      <w:r>
        <w:rPr>
          <w:rFonts w:ascii="Times New Roman" w:cs="Times New Roman" w:eastAsia="Times New Roman" w:hAnsi="Times New Roman"/>
          <w:sz w:val="18"/>
          <w:szCs w:val="18"/>
          <w:b w:val="1"/>
          <w:bCs w:val="1"/>
          <w:color w:val="auto"/>
        </w:rPr>
        <w:t xml:space="preserve">Improvements to Younet Background IP. </w:t>
      </w:r>
      <w:r>
        <w:rPr>
          <w:rFonts w:ascii="Times New Roman" w:cs="Times New Roman" w:eastAsia="Times New Roman" w:hAnsi="Times New Roman"/>
          <w:sz w:val="18"/>
          <w:szCs w:val="18"/>
          <w:color w:val="auto"/>
        </w:rPr>
        <w:t>Any improvements, modifications, or enhancements to the Younet Background IP that are developed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Younet in the course of performing services under this Agreement shall be owned by Younet, provided that KALA shall receive a perpetual, irrevocable, royalty-free license to use such improvements solely in connection with the Platform within the Biotechnology Field.</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6.05</w:t>
      </w:r>
      <w:r>
        <w:rPr>
          <w:sz w:val="20"/>
          <w:szCs w:val="20"/>
          <w:color w:val="auto"/>
        </w:rPr>
        <w:tab/>
      </w:r>
      <w:r>
        <w:rPr>
          <w:rFonts w:ascii="Times New Roman" w:cs="Times New Roman" w:eastAsia="Times New Roman" w:hAnsi="Times New Roman"/>
          <w:sz w:val="17"/>
          <w:szCs w:val="17"/>
          <w:b w:val="1"/>
          <w:bCs w:val="1"/>
          <w:color w:val="auto"/>
        </w:rPr>
        <w:t xml:space="preserve">No Reverse Engineering. </w:t>
      </w:r>
      <w:r>
        <w:rPr>
          <w:rFonts w:ascii="Times New Roman" w:cs="Times New Roman" w:eastAsia="Times New Roman" w:hAnsi="Times New Roman"/>
          <w:sz w:val="17"/>
          <w:szCs w:val="17"/>
          <w:color w:val="auto"/>
        </w:rPr>
        <w:t>KALA shall not reverse engineer, decompile, or disassemble any Younet Background IP.</w:t>
      </w:r>
    </w:p>
    <w:p>
      <w:pPr>
        <w:spacing w:after="0" w:line="22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6.06</w:t>
      </w:r>
      <w:r>
        <w:rPr>
          <w:sz w:val="20"/>
          <w:szCs w:val="20"/>
          <w:color w:val="auto"/>
        </w:rPr>
        <w:tab/>
      </w:r>
      <w:r>
        <w:rPr>
          <w:rFonts w:ascii="Times New Roman" w:cs="Times New Roman" w:eastAsia="Times New Roman" w:hAnsi="Times New Roman"/>
          <w:sz w:val="18"/>
          <w:szCs w:val="18"/>
          <w:b w:val="1"/>
          <w:bCs w:val="1"/>
          <w:color w:val="auto"/>
        </w:rPr>
        <w:t xml:space="preserve">Data Security and Firewall. </w:t>
      </w:r>
      <w:r>
        <w:rPr>
          <w:rFonts w:ascii="Times New Roman" w:cs="Times New Roman" w:eastAsia="Times New Roman" w:hAnsi="Times New Roman"/>
          <w:sz w:val="18"/>
          <w:szCs w:val="18"/>
          <w:color w:val="auto"/>
        </w:rPr>
        <w:t>Younet shall implement and maintain commercially reasonable technical and organizational measures to ensure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KALA Data is segregated from data belonging to Younet’s other clients, and that no KALA Data is used to train, improve, or benefit any AI models or platforms deployed for third parties.</w:t>
      </w:r>
    </w:p>
    <w:p>
      <w:pPr>
        <w:spacing w:after="0" w:line="17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Without limiting the generality of the foregoing, the Platform shall be configured and operated in accordance with the Data Sovereignty principles set forth in Section 2.12(b), such that no KALA Data (or data of any sublicensee) is transmitted to, stored on, or processed by any external servers, public cloud environments (except as expressly permitted under Section 1.03), or third-party AI services. All Platform processing, data storage, and AI inference shall occur within the applicable client’s own secure infrastructure; provided, however, that the Parties acknowledge that prior to achievement of full SOC 2 Type II certification, certain non-proprietary, non-confidential data processing functions (such as general biomedical literature queries using publicly available information only) may be routed through Younet’s standard LLM interface, subject to the following conditions: (a) no KALA Data, Confidential Information, client proprietary data, trade secrets, clinical data, or patient data shall be transmitted through such interface under any circumstances; (b) KALA shall approve in writing the categories of data and query types permitted to be processed through such interface; (c) Younet shall implement technical controls to prevent the inadvertent transmission of restricted data; and (d) upon achievement of SOC 2 Type II certification (or equivalent), all data processing shall transition to fully on-premises or KALA-approved private cloud infrastructure within sixty (60) days, and the foregoing exception shall automatically terminate.</w:t>
      </w:r>
    </w:p>
    <w:p>
      <w:pPr>
        <w:spacing w:after="0" w:line="19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Without limiting the foregoing, Younet shall implement and maintain the following security measures, which shall be operative from and after the Effective Date (or, with respect to items requiring SOC 2 certification, from and after the SOC 2 Compliance Date).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both"/>
        <w:ind w:left="4"/>
        <w:spacing w:after="0" w:line="256" w:lineRule="auto"/>
        <w:rPr>
          <w:sz w:val="20"/>
          <w:szCs w:val="20"/>
          <w:color w:val="auto"/>
        </w:rPr>
      </w:pPr>
      <w:r>
        <w:rPr>
          <w:rFonts w:ascii="Times New Roman" w:cs="Times New Roman" w:eastAsia="Times New Roman" w:hAnsi="Times New Roman"/>
          <w:sz w:val="18"/>
          <w:szCs w:val="18"/>
          <w:b w:val="1"/>
          <w:bCs w:val="1"/>
          <w:color w:val="auto"/>
        </w:rPr>
        <w:t>SOC 2 Timeline</w:t>
      </w:r>
      <w:r>
        <w:rPr>
          <w:rFonts w:ascii="Times New Roman" w:cs="Times New Roman" w:eastAsia="Times New Roman" w:hAnsi="Times New Roman"/>
          <w:sz w:val="18"/>
          <w:szCs w:val="18"/>
          <w:color w:val="auto"/>
        </w:rPr>
        <w:t>. Younet shall initiate the SOC 2 Type II certification process within thirty (30) days of the Effective Date, using an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audit firm mutually agreed upon by the Parties (such agreement not to be unreasonably withheld). Younet shall use commercially reasonable efforts to achieve SOC 2 Type II certification (or substantially equivalent independent security certification) within nine (9) months of the Effective Date (the “</w:t>
      </w:r>
      <w:r>
        <w:rPr>
          <w:rFonts w:ascii="Times New Roman" w:cs="Times New Roman" w:eastAsia="Times New Roman" w:hAnsi="Times New Roman"/>
          <w:sz w:val="18"/>
          <w:szCs w:val="18"/>
          <w:b w:val="1"/>
          <w:bCs w:val="1"/>
          <w:color w:val="auto"/>
        </w:rPr>
        <w:t>SOC 2 Compliance Date</w:t>
      </w:r>
      <w:r>
        <w:rPr>
          <w:rFonts w:ascii="Times New Roman" w:cs="Times New Roman" w:eastAsia="Times New Roman" w:hAnsi="Times New Roman"/>
          <w:sz w:val="18"/>
          <w:szCs w:val="18"/>
          <w:color w:val="auto"/>
        </w:rPr>
        <w:t>”). Younet shall provide KALA with quarterly written progress reports on the status of the certification process. If Younet does not achieve SOC 2 Type II certification within twelve (12) months of the Effective Date, KALA shall have the right, without prejudice to its other remedies, to engage an independent security auditor (at Younet’s expense) to assess the Platform’s security posture and to require Younet to implement any remediation measures identified by such auditor within a commercially reasonable timeframe.</w:t>
      </w:r>
    </w:p>
    <w:p>
      <w:pPr>
        <w:spacing w:after="0" w:line="187"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Notwithstanding the SOC 2 timeline, the following security measures shall be implemented by Younet from and after the Effective Date (regardless of the status of SOC 2 certification):</w:t>
      </w:r>
    </w:p>
    <w:p>
      <w:pPr>
        <w:spacing w:after="0" w:line="162" w:lineRule="exact"/>
        <w:rPr>
          <w:sz w:val="20"/>
          <w:szCs w:val="20"/>
          <w:color w:val="auto"/>
        </w:rPr>
      </w:pPr>
    </w:p>
    <w:p>
      <w:pPr>
        <w:ind w:left="644" w:hanging="644"/>
        <w:spacing w:after="0"/>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encrypt all KALA Data at rest (using AES-256 or equivalent) and in transit (using TLS 1.2 or higher);</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and maintain access controls, including multi-factor authentication, role-based access permissions, and logging of all access to KALA Data;</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written information security program that includes administrative, technical, and physical safeguards designed to protect the confidentiality, integrity, and availability of KALA Data, consistent with industry standards (including, without limitation, SOC 2 Type II or ISO 27001, or substantially equivalent standards);</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vulnerability assessments and penetration testing of the Platform at least annually (or promptly following any material change to the Platform architecture), and promptly remediate any critical or high-severity vulnerabilities identified;</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incident response plan and notify KALA in writing within forty-eight (48) hours of Younet becoming aware of any actual or reasonably suspected unauthorized access to, disclosure of, or loss of KALA Data (a “Security Incident”), and cooperate with KALA in investigating and remediating any such Security Incident; and</w:t>
      </w:r>
    </w:p>
    <w:p>
      <w:pPr>
        <w:spacing w:after="0" w:line="17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all Younet personnel and subcontractors with access to KALA Data are bound by written confidentiality and data protection obligations no less restrictive than those set forth in this Agreement.</w:t>
      </w:r>
    </w:p>
    <w:p>
      <w:pPr>
        <w:spacing w:after="0" w:line="27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2" w:right="339" w:bottom="1440" w:gutter="0" w:footer="0" w:header="0"/>
        </w:sectPr>
      </w:pPr>
    </w:p>
    <w:bookmarkStart w:id="21" w:name="page22"/>
    <w:bookmarkEnd w:id="21"/>
    <w:p>
      <w:pPr>
        <w:spacing w:after="0"/>
        <w:tabs>
          <w:tab w:leader="none" w:pos="640" w:val="left"/>
        </w:tabs>
        <w:rPr>
          <w:sz w:val="20"/>
          <w:szCs w:val="20"/>
          <w:color w:val="auto"/>
        </w:rPr>
      </w:pPr>
      <w:r>
        <w:rPr>
          <w:rFonts w:ascii="Times New Roman" w:cs="Times New Roman" w:eastAsia="Times New Roman" w:hAnsi="Times New Roman"/>
          <w:sz w:val="18"/>
          <w:szCs w:val="18"/>
          <w:color w:val="auto"/>
        </w:rPr>
        <w:t>6.07</w:t>
      </w:r>
      <w:r>
        <w:rPr>
          <w:sz w:val="20"/>
          <w:szCs w:val="20"/>
          <w:color w:val="auto"/>
        </w:rPr>
        <w:tab/>
      </w:r>
      <w:r>
        <w:rPr>
          <w:rFonts w:ascii="Times New Roman" w:cs="Times New Roman" w:eastAsia="Times New Roman" w:hAnsi="Times New Roman"/>
          <w:sz w:val="17"/>
          <w:szCs w:val="17"/>
          <w:b w:val="1"/>
          <w:bCs w:val="1"/>
          <w:color w:val="auto"/>
        </w:rPr>
        <w:t>Audit Rights.</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thirty (30) days’ prior written notice, KALA (or a qualified independent third-party auditor selected by KALA and reasonably acceptable to Younet) shall have the right, no more than once per twelve (12)-month period during the Term and for one (1) year following expiration or termination, to audit Younet’s compliance with its data security, data segregation, and confidentiality obligations under this Agreement. Such audit shall be conducted during normal business hours, at KALA’s expense, and shall be subject to reasonable confidentiality restrictions to protect Younet’s proprietary information and the information of Younet’s other clients.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Younet shall cooperate reasonably with any such audit, including by providing access to relevant systems, records, logs, security documentation, and personnel. Younet shall not be required to provide access to source code of Younet Background IP or to information relating to Younet’s other clients.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audit reveals a material deficiency in Younet’s compliance with its obligations under Sections 5.06 or 7, Younet shall prepare and deliver to KALA a written remediation plan within fifteen (15) business days of receiving written notice of such deficiency and shall use commercially reasonable efforts to complete such remediation within thirty (30) days thereafter. If the deficiency is not remediated within such period, KALA may, without prejudice to its other rights and remedies, conduct a follow-up audit at Younet’s expense.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a full on-site audit, Younet may, at its option, provide KALA with a current SOC 2 Type II report (or equivalent independent third-party certification) covering the systems and controls applicable to the Platform and KALA Data. If KALA reasonably determines that such report does not adequately address KALA’s audit concerns, KALA shall retain the right to conduct a direct audit as described in Section 5.07(a).</w:t>
      </w:r>
    </w:p>
    <w:p>
      <w:pPr>
        <w:spacing w:after="0" w:line="17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03"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7.01</w:t>
      </w:r>
      <w:r>
        <w:rPr>
          <w:sz w:val="20"/>
          <w:szCs w:val="20"/>
          <w:color w:val="auto"/>
        </w:rPr>
        <w:tab/>
      </w:r>
      <w:r>
        <w:rPr>
          <w:rFonts w:ascii="Times New Roman" w:cs="Times New Roman" w:eastAsia="Times New Roman" w:hAnsi="Times New Roman"/>
          <w:sz w:val="18"/>
          <w:szCs w:val="18"/>
          <w:b w:val="1"/>
          <w:bCs w:val="1"/>
          <w:color w:val="auto"/>
        </w:rPr>
        <w:t xml:space="preserve">Obligations. </w:t>
      </w:r>
      <w:r>
        <w:rPr>
          <w:rFonts w:ascii="Times New Roman" w:cs="Times New Roman" w:eastAsia="Times New Roman" w:hAnsi="Times New Roman"/>
          <w:sz w:val="18"/>
          <w:szCs w:val="18"/>
          <w:color w:val="auto"/>
        </w:rPr>
        <w:t>Each Party agrees to hold in strict confidence all Confidential Information received from the other Party and to use such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solely for the purposes of performing its obligations or exercising its rights under this Agreement. Neither Party shall disclose Confidential Information to any third party without the prior written consent of the disclosing Party, except to its employees, contractors, advisors, and agents who have a need to know and who are bound by confidentiality obligations no less restrictive than those set forth herein.</w:t>
      </w:r>
    </w:p>
    <w:p>
      <w:pPr>
        <w:spacing w:after="0" w:line="176"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7.02</w:t>
      </w:r>
      <w:r>
        <w:rPr>
          <w:sz w:val="20"/>
          <w:szCs w:val="20"/>
          <w:color w:val="auto"/>
        </w:rPr>
        <w:tab/>
      </w:r>
      <w:r>
        <w:rPr>
          <w:rFonts w:ascii="Times New Roman" w:cs="Times New Roman" w:eastAsia="Times New Roman" w:hAnsi="Times New Roman"/>
          <w:sz w:val="18"/>
          <w:szCs w:val="18"/>
          <w:b w:val="1"/>
          <w:bCs w:val="1"/>
          <w:color w:val="auto"/>
        </w:rPr>
        <w:t xml:space="preserve">Exceptions. </w:t>
      </w:r>
      <w:r>
        <w:rPr>
          <w:rFonts w:ascii="Times New Roman" w:cs="Times New Roman" w:eastAsia="Times New Roman" w:hAnsi="Times New Roman"/>
          <w:sz w:val="18"/>
          <w:szCs w:val="18"/>
          <w:color w:val="auto"/>
        </w:rPr>
        <w:t>Confidential Information shall not include information that: (a) is or becomes publicly available through no fault of the receiving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(b) was known to the receiving Party prior to disclosure; (c) is independently developed by the receiving Party without use of or reference to the disclosing Party’s Confidential Information; or (d) is rightfully received from a third party without restriction.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7.03</w:t>
      </w:r>
      <w:r>
        <w:rPr>
          <w:sz w:val="20"/>
          <w:szCs w:val="20"/>
          <w:color w:val="auto"/>
        </w:rPr>
        <w:tab/>
      </w:r>
      <w:r>
        <w:rPr>
          <w:rFonts w:ascii="Times New Roman" w:cs="Times New Roman" w:eastAsia="Times New Roman" w:hAnsi="Times New Roman"/>
          <w:sz w:val="18"/>
          <w:szCs w:val="18"/>
          <w:b w:val="1"/>
          <w:bCs w:val="1"/>
          <w:color w:val="auto"/>
        </w:rPr>
        <w:t xml:space="preserve">Compelled Disclosure. </w:t>
      </w:r>
      <w:r>
        <w:rPr>
          <w:rFonts w:ascii="Times New Roman" w:cs="Times New Roman" w:eastAsia="Times New Roman" w:hAnsi="Times New Roman"/>
          <w:sz w:val="18"/>
          <w:szCs w:val="18"/>
          <w:color w:val="auto"/>
        </w:rPr>
        <w:t>If a receiving Party is compelled by law, regulation, or legal proceeding to disclose Confidential Information, it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prompt written notice to the disclosing Party (to the extent permitted by law) and shall cooperate with the disclosing Party’s efforts to obtain a protective order or other appropriate remedy.</w:t>
      </w:r>
    </w:p>
    <w:p>
      <w:pPr>
        <w:spacing w:after="0" w:line="171"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7.04</w:t>
      </w:r>
      <w:r>
        <w:rPr>
          <w:sz w:val="20"/>
          <w:szCs w:val="20"/>
          <w:color w:val="auto"/>
        </w:rPr>
        <w:tab/>
      </w:r>
      <w:r>
        <w:rPr>
          <w:rFonts w:ascii="Times New Roman" w:cs="Times New Roman" w:eastAsia="Times New Roman" w:hAnsi="Times New Roman"/>
          <w:sz w:val="18"/>
          <w:szCs w:val="18"/>
          <w:b w:val="1"/>
          <w:bCs w:val="1"/>
          <w:color w:val="auto"/>
        </w:rPr>
        <w:t xml:space="preserve">Duration. </w:t>
      </w:r>
      <w:r>
        <w:rPr>
          <w:rFonts w:ascii="Times New Roman" w:cs="Times New Roman" w:eastAsia="Times New Roman" w:hAnsi="Times New Roman"/>
          <w:sz w:val="18"/>
          <w:szCs w:val="18"/>
          <w:color w:val="auto"/>
        </w:rPr>
        <w:t>The confidentiality obligations set forth in this Article 7 shall survive the expiration or termination of this Agreement for a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(3) years, provided that obligations with respect to trade secrets shall survive for so long as such information remains a trade secret under applicable law.</w:t>
      </w:r>
    </w:p>
    <w:p>
      <w:pPr>
        <w:spacing w:after="0" w:line="171"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7.05</w:t>
      </w:r>
      <w:r>
        <w:rPr>
          <w:sz w:val="20"/>
          <w:szCs w:val="20"/>
          <w:color w:val="auto"/>
        </w:rPr>
        <w:tab/>
      </w:r>
      <w:r>
        <w:rPr>
          <w:rFonts w:ascii="Times New Roman" w:cs="Times New Roman" w:eastAsia="Times New Roman" w:hAnsi="Times New Roman"/>
          <w:sz w:val="18"/>
          <w:szCs w:val="18"/>
          <w:b w:val="1"/>
          <w:bCs w:val="1"/>
          <w:color w:val="auto"/>
        </w:rPr>
        <w:t xml:space="preserve">Public Company Obligations. </w:t>
      </w:r>
      <w:r>
        <w:rPr>
          <w:rFonts w:ascii="Times New Roman" w:cs="Times New Roman" w:eastAsia="Times New Roman" w:hAnsi="Times New Roman"/>
          <w:sz w:val="18"/>
          <w:szCs w:val="18"/>
          <w:color w:val="auto"/>
        </w:rPr>
        <w:t>Younet acknowledges that KALA is a publicly traded company subject to the reporting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Exchange Act of 1934, as amended, and the rules and regulations of the Nasdaq Stock Market. Younet agrees not to trade in KALA securities while in possession of material, non-public information received in connection with this Agreement, and to comply with all applicable insider trading laws and regulations.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3"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8.01</w:t>
      </w:r>
      <w:r>
        <w:rPr>
          <w:sz w:val="20"/>
          <w:szCs w:val="20"/>
          <w:color w:val="auto"/>
        </w:rPr>
        <w:tab/>
      </w:r>
      <w:r>
        <w:rPr>
          <w:rFonts w:ascii="Times New Roman" w:cs="Times New Roman" w:eastAsia="Times New Roman" w:hAnsi="Times New Roman"/>
          <w:sz w:val="18"/>
          <w:szCs w:val="18"/>
          <w:b w:val="1"/>
          <w:bCs w:val="1"/>
          <w:color w:val="auto"/>
        </w:rPr>
        <w:t xml:space="preserve">Mutual Representations. </w:t>
      </w:r>
      <w:r>
        <w:rPr>
          <w:rFonts w:ascii="Times New Roman" w:cs="Times New Roman" w:eastAsia="Times New Roman" w:hAnsi="Times New Roman"/>
          <w:sz w:val="18"/>
          <w:szCs w:val="18"/>
          <w:color w:val="auto"/>
        </w:rPr>
        <w:t>Each Party represents and warrants to the other that: (a) it is duly organized, validly existing, and in good 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its jurisdiction of organization; (b) it has the full corporate power and authority to enter into and perform its obligations under this Agreement; (c) the execution, delivery, and performance of this Agreement have been duly authorized; and (d) this Agreement constitutes a valid and binding obligation, enforceable against it in accordance with its terms.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8.02</w:t>
      </w:r>
      <w:r>
        <w:rPr>
          <w:sz w:val="20"/>
          <w:szCs w:val="20"/>
          <w:color w:val="auto"/>
        </w:rPr>
        <w:tab/>
      </w:r>
      <w:r>
        <w:rPr>
          <w:rFonts w:ascii="Times New Roman" w:cs="Times New Roman" w:eastAsia="Times New Roman" w:hAnsi="Times New Roman"/>
          <w:sz w:val="17"/>
          <w:szCs w:val="17"/>
          <w:b w:val="1"/>
          <w:bCs w:val="1"/>
          <w:color w:val="auto"/>
        </w:rPr>
        <w:t xml:space="preserve">Younet Representations. </w:t>
      </w:r>
      <w:r>
        <w:rPr>
          <w:rFonts w:ascii="Times New Roman" w:cs="Times New Roman" w:eastAsia="Times New Roman" w:hAnsi="Times New Roman"/>
          <w:sz w:val="17"/>
          <w:szCs w:val="17"/>
          <w:color w:val="auto"/>
        </w:rPr>
        <w:t>Younet further represents and warrants that:</w:t>
      </w:r>
    </w:p>
    <w:p>
      <w:pPr>
        <w:spacing w:after="0" w:line="229" w:lineRule="exact"/>
        <w:rPr>
          <w:sz w:val="20"/>
          <w:szCs w:val="20"/>
          <w:color w:val="auto"/>
        </w:rPr>
      </w:pPr>
    </w:p>
    <w:p>
      <w:pPr>
        <w:ind w:left="1300" w:right="2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technical expertise, personnel, and resources necessary to perform the services and deliver the Deliverables in accordance with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as delivered, will materially conform to the specifications set forth in Exhibit A for a period of twelve (12) months following acceptance (the “</w:t>
      </w:r>
      <w:r>
        <w:rPr>
          <w:rFonts w:ascii="Times New Roman" w:cs="Times New Roman" w:eastAsia="Times New Roman" w:hAnsi="Times New Roman"/>
          <w:sz w:val="18"/>
          <w:szCs w:val="18"/>
          <w:b w:val="1"/>
          <w:bCs w:val="1"/>
          <w:color w:val="auto"/>
        </w:rPr>
        <w:t>Warranty Period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Deliverables will not infringe, misappropriate, or violate the Intellectual Property rights of any third party;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perform the services in a professional and workmanlike manner, consistent with industry standards;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entered into, and during the Term will not enter into, any agreement or arrangement that would conflict with or impair its ability to perform its obligations or grant the exclusivity rights set forth in Article 3;</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both"/>
        <w:ind w:left="1300" w:hanging="644"/>
        <w:spacing w:after="0" w:line="25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Warranty Period, Younet shall use commercially reasonable efforts to correct any material defect in the Platform reported by KALA in writing within thirty (30) days of receiving such report (or such longer period as may be reasonably required given the nature of the defect, provided that Younet promptly commences corrective efforts and keeps KALA reasonably informed of progress). If Younet is unable to correct a material defect within such period, KALA shall be entitled, as its sole remedy under this Section 7.02(f), to a pro-rata credit against any fees then owing to Younet for the period during which the defect materially impairs KALA’s use of the Platform; and</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Younet shall use commercially reasonable efforts to maintain Platform availability of not less than ninety-five percent (95%) uptime per calendar month, measured exclusive of scheduled maintenance windows (which Younet shall notify KALA of at least forty-eight (48) hours in advance) and Force Majeure events. In the event Platform availability falls below ninety-five percent (95%) in any calendar month, Younet shall promptly investigate and provide KALA with a written remediation plan within ten (10) business days.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8.03</w:t>
      </w:r>
      <w:r>
        <w:rPr>
          <w:sz w:val="20"/>
          <w:szCs w:val="20"/>
          <w:color w:val="auto"/>
        </w:rPr>
        <w:tab/>
      </w:r>
      <w:r>
        <w:rPr>
          <w:rFonts w:ascii="Times New Roman" w:cs="Times New Roman" w:eastAsia="Times New Roman" w:hAnsi="Times New Roman"/>
          <w:sz w:val="17"/>
          <w:szCs w:val="17"/>
          <w:b w:val="1"/>
          <w:bCs w:val="1"/>
          <w:color w:val="auto"/>
        </w:rPr>
        <w:t xml:space="preserve">KALA Representations. </w:t>
      </w:r>
      <w:r>
        <w:rPr>
          <w:rFonts w:ascii="Times New Roman" w:cs="Times New Roman" w:eastAsia="Times New Roman" w:hAnsi="Times New Roman"/>
          <w:sz w:val="17"/>
          <w:szCs w:val="17"/>
          <w:color w:val="auto"/>
        </w:rPr>
        <w:t>KALA further represents and warrants that:</w:t>
      </w:r>
    </w:p>
    <w:p>
      <w:pPr>
        <w:spacing w:after="0" w:line="229"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right to provide the KALA Data to Younet for use in connection with the development of the Platform;</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Shares has been duly authorized by the Company’s Board of Directors and, to the extent required, by its stockholders;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issuance, the Shares will be validly issued, fully paid, and non-assessable.</w:t>
      </w:r>
    </w:p>
    <w:p>
      <w:pPr>
        <w:spacing w:after="0" w:line="2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9.01</w:t>
      </w:r>
      <w:r>
        <w:rPr>
          <w:sz w:val="20"/>
          <w:szCs w:val="20"/>
          <w:color w:val="auto"/>
        </w:rPr>
        <w:tab/>
      </w:r>
      <w:r>
        <w:rPr>
          <w:rFonts w:ascii="Times New Roman" w:cs="Times New Roman" w:eastAsia="Times New Roman" w:hAnsi="Times New Roman"/>
          <w:sz w:val="18"/>
          <w:szCs w:val="18"/>
          <w:b w:val="1"/>
          <w:bCs w:val="1"/>
          <w:color w:val="auto"/>
        </w:rPr>
        <w:t xml:space="preserve">Younet Indemnification. </w:t>
      </w:r>
      <w:r>
        <w:rPr>
          <w:rFonts w:ascii="Times New Roman" w:cs="Times New Roman" w:eastAsia="Times New Roman" w:hAnsi="Times New Roman"/>
          <w:sz w:val="18"/>
          <w:szCs w:val="18"/>
          <w:color w:val="auto"/>
        </w:rPr>
        <w:t>Younet shall defend, indemnify, and hold harmless KALA, its directors, officers, employees, and agents from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any and all claims, losses, damages, liabilities, costs, and expenses (including reasonable attorneys’ fees) arising from or related to: (a) Younet’s breach of any representation, warranty, or obligation under this Agreement; (b) any claim that the Deliverables (excluding KALA Data) infringe the Intellectual Property rights of a third party; or (c) Younet’s negligence or willful misconduct.</w:t>
      </w:r>
    </w:p>
    <w:p>
      <w:pPr>
        <w:spacing w:after="0" w:line="176"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9.02</w:t>
      </w:r>
      <w:r>
        <w:rPr>
          <w:sz w:val="20"/>
          <w:szCs w:val="20"/>
          <w:color w:val="auto"/>
        </w:rPr>
        <w:tab/>
      </w:r>
      <w:r>
        <w:rPr>
          <w:rFonts w:ascii="Times New Roman" w:cs="Times New Roman" w:eastAsia="Times New Roman" w:hAnsi="Times New Roman"/>
          <w:sz w:val="18"/>
          <w:szCs w:val="18"/>
          <w:b w:val="1"/>
          <w:bCs w:val="1"/>
          <w:color w:val="auto"/>
        </w:rPr>
        <w:t xml:space="preserve">KALA Indemnification. </w:t>
      </w:r>
      <w:r>
        <w:rPr>
          <w:rFonts w:ascii="Times New Roman" w:cs="Times New Roman" w:eastAsia="Times New Roman" w:hAnsi="Times New Roman"/>
          <w:sz w:val="18"/>
          <w:szCs w:val="18"/>
          <w:color w:val="auto"/>
        </w:rPr>
        <w:t>KALA shall defend, indemnify, and hold harmless Younet, its directors, officers, employees, and agents from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any and all claims, losses, damages, liabilities, costs, and expenses (including reasonable attorneys’ fees) arising from or related to: (a) KALA’s breach of any representation, warranty, or obligation under this Agreement; (b) any claim arising from KALA’s use of the Platform or KALA Data; or (c) KALA’s negligence or willful misconduct.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9.03</w:t>
      </w:r>
      <w:r>
        <w:rPr>
          <w:sz w:val="20"/>
          <w:szCs w:val="20"/>
          <w:color w:val="auto"/>
        </w:rPr>
        <w:tab/>
      </w:r>
      <w:r>
        <w:rPr>
          <w:rFonts w:ascii="Times New Roman" w:cs="Times New Roman" w:eastAsia="Times New Roman" w:hAnsi="Times New Roman"/>
          <w:sz w:val="18"/>
          <w:szCs w:val="18"/>
          <w:b w:val="1"/>
          <w:bCs w:val="1"/>
          <w:color w:val="auto"/>
        </w:rPr>
        <w:t xml:space="preserve">Limitation of Liability. </w:t>
      </w:r>
      <w:r>
        <w:rPr>
          <w:rFonts w:ascii="Times New Roman" w:cs="Times New Roman" w:eastAsia="Times New Roman" w:hAnsi="Times New Roman"/>
          <w:sz w:val="18"/>
          <w:szCs w:val="18"/>
          <w:color w:val="auto"/>
        </w:rPr>
        <w:t>EXCEPT FOR BREACHES OF ARTICLE 7 (CONFIDENTIALITY), ARTICLE 6 (INTELLECTUAL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OBLIGATIONS UNDER SECTIONS 8.01(b) OR 8.02(b), IN NO EVENT SHALL EITHER PARTY’S TOTAL AGGREGATE LIABILITY UNDER THIS AGREEMENT EXCEED THE TOTAL COMPENSATION PAID OR PAYABLE UNDER ARTICLE 4 (INCLUSIVE OF THE FAIR MARKET VALUE OF THE SHARES ON THE DATE OF ISSUANCE). IN NO EVENT SHALL EITHER PARTY BE LIABLE FOR ANY INDIRECT, INCIDENTAL, CONSEQUENTIAL, SPECIAL, PUNITIVE, OR EXEMPLARY DAMAGES, REGARDLESS OF THE FORM OF ACTION OR THEORY OF LIABILITY.</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ONGOING SUPPORT AND MAINTENANCE</w:t>
      </w:r>
    </w:p>
    <w:p>
      <w:pPr>
        <w:spacing w:after="0" w:line="203" w:lineRule="exact"/>
        <w:rPr>
          <w:sz w:val="20"/>
          <w:szCs w:val="20"/>
          <w:color w:val="auto"/>
        </w:rPr>
      </w:pPr>
    </w:p>
    <w:p>
      <w:pPr>
        <w:jc w:val="both"/>
        <w:ind w:left="660" w:right="2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10.01</w:t>
      </w:r>
      <w:r>
        <w:rPr>
          <w:sz w:val="20"/>
          <w:szCs w:val="20"/>
          <w:color w:val="auto"/>
        </w:rPr>
        <w:tab/>
      </w:r>
      <w:r>
        <w:rPr>
          <w:rFonts w:ascii="Times New Roman" w:cs="Times New Roman" w:eastAsia="Times New Roman" w:hAnsi="Times New Roman"/>
          <w:sz w:val="18"/>
          <w:szCs w:val="18"/>
          <w:b w:val="1"/>
          <w:bCs w:val="1"/>
          <w:color w:val="auto"/>
        </w:rPr>
        <w:t xml:space="preserve">Initial Term Support. </w:t>
      </w:r>
      <w:r>
        <w:rPr>
          <w:rFonts w:ascii="Times New Roman" w:cs="Times New Roman" w:eastAsia="Times New Roman" w:hAnsi="Times New Roman"/>
          <w:sz w:val="18"/>
          <w:szCs w:val="18"/>
          <w:color w:val="auto"/>
        </w:rPr>
        <w:t>During the Initial Term, Younet shall provide KALA with reasonable technical support in connection with the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Deliverables (Working Platform and Access), including assistance with access, basic troubleshooting, and orientation. No dedicated development personnel or material infrastructure resources are required of Younet during the Initial Term beyond what is necessary to maintain the Platform.</w:t>
      </w:r>
    </w:p>
    <w:p>
      <w:pPr>
        <w:spacing w:after="0" w:line="171"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10.02</w:t>
      </w:r>
      <w:r>
        <w:rPr>
          <w:sz w:val="20"/>
          <w:szCs w:val="20"/>
          <w:color w:val="auto"/>
        </w:rPr>
        <w:tab/>
      </w:r>
      <w:r>
        <w:rPr>
          <w:rFonts w:ascii="Times New Roman" w:cs="Times New Roman" w:eastAsia="Times New Roman" w:hAnsi="Times New Roman"/>
          <w:sz w:val="18"/>
          <w:szCs w:val="18"/>
          <w:b w:val="1"/>
          <w:bCs w:val="1"/>
          <w:color w:val="auto"/>
        </w:rPr>
        <w:t xml:space="preserve">Renewal Term Support. </w:t>
      </w:r>
      <w:r>
        <w:rPr>
          <w:rFonts w:ascii="Times New Roman" w:cs="Times New Roman" w:eastAsia="Times New Roman" w:hAnsi="Times New Roman"/>
          <w:sz w:val="18"/>
          <w:szCs w:val="18"/>
          <w:color w:val="auto"/>
        </w:rPr>
        <w:t>During each Renewal Term, Younet shall provide KALA with ongoing infrastructure support, platform maintenance,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technical assistance as part of the Renewal Deliverables. The scope and level of support for each Renewal Term shall be as set forth in the applicable Extension Notice or as otherwise agreed in writing.</w:t>
      </w:r>
    </w:p>
    <w:p>
      <w:pPr>
        <w:spacing w:after="0" w:line="171"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10.03</w:t>
      </w:r>
      <w:r>
        <w:rPr>
          <w:sz w:val="20"/>
          <w:szCs w:val="20"/>
          <w:color w:val="auto"/>
        </w:rPr>
        <w:tab/>
      </w:r>
      <w:r>
        <w:rPr>
          <w:rFonts w:ascii="Times New Roman" w:cs="Times New Roman" w:eastAsia="Times New Roman" w:hAnsi="Times New Roman"/>
          <w:sz w:val="18"/>
          <w:szCs w:val="18"/>
          <w:b w:val="1"/>
          <w:bCs w:val="1"/>
          <w:color w:val="auto"/>
        </w:rPr>
        <w:t xml:space="preserve">Additional Agent Development. </w:t>
      </w:r>
      <w:r>
        <w:rPr>
          <w:rFonts w:ascii="Times New Roman" w:cs="Times New Roman" w:eastAsia="Times New Roman" w:hAnsi="Times New Roman"/>
          <w:sz w:val="18"/>
          <w:szCs w:val="18"/>
          <w:color w:val="auto"/>
        </w:rPr>
        <w:t>The Parties may mutually agree to the development of additional custom AI agents or platform enhancements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beyond the Initial and Renewal Deliverables, subject to the execution of a written change order or amendment specifying the scope, timeline, and additional compensation for such work.</w:t>
      </w:r>
    </w:p>
    <w:p>
      <w:pPr>
        <w:spacing w:after="0" w:line="171"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10.04</w:t>
      </w:r>
      <w:r>
        <w:rPr>
          <w:sz w:val="20"/>
          <w:szCs w:val="20"/>
          <w:color w:val="auto"/>
        </w:rPr>
        <w:tab/>
      </w:r>
      <w:r>
        <w:rPr>
          <w:rFonts w:ascii="Times New Roman" w:cs="Times New Roman" w:eastAsia="Times New Roman" w:hAnsi="Times New Roman"/>
          <w:sz w:val="18"/>
          <w:szCs w:val="18"/>
          <w:b w:val="1"/>
          <w:bCs w:val="1"/>
          <w:color w:val="auto"/>
        </w:rPr>
        <w:t xml:space="preserve">Training. </w:t>
      </w:r>
      <w:r>
        <w:rPr>
          <w:rFonts w:ascii="Times New Roman" w:cs="Times New Roman" w:eastAsia="Times New Roman" w:hAnsi="Times New Roman"/>
          <w:sz w:val="18"/>
          <w:szCs w:val="18"/>
          <w:color w:val="auto"/>
        </w:rPr>
        <w:t>Younet shall provide customary as per Younet standards training during the Initial Term (included in the Upfront Payment) and regular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training during each Renewal Term (included in the Extension Fee), in each case on the use and administration of the Platform.</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03"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11.01</w:t>
      </w:r>
      <w:r>
        <w:rPr>
          <w:sz w:val="20"/>
          <w:szCs w:val="20"/>
          <w:color w:val="auto"/>
        </w:rPr>
        <w:tab/>
      </w: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This Agreement shall commence on the Effective Date for the Initial Term of twelve (12) months. The Agreement shall automatically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expire at the end of the Initial Term unless KALA delivers an Extension Notice and pays the applicable Extension Fee to extend for a Renewal Term. Each Renewal Term shall be twelve (12) months in duration and shall similarly expire at its conclusion unless KALA again delivers an Extension Notice and pays the applicable Extension Fee. There is no limit on the number of successive Renewal Terms.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right"/>
        <w:spacing w:after="0" w:line="263" w:lineRule="auto"/>
        <w:rPr>
          <w:sz w:val="20"/>
          <w:szCs w:val="20"/>
          <w:color w:val="auto"/>
        </w:rPr>
      </w:pPr>
      <w:r>
        <w:rPr>
          <w:rFonts w:ascii="Times New Roman" w:cs="Times New Roman" w:eastAsia="Times New Roman" w:hAnsi="Times New Roman"/>
          <w:sz w:val="18"/>
          <w:szCs w:val="18"/>
          <w:color w:val="auto"/>
        </w:rPr>
        <w:t xml:space="preserve">11.02   </w:t>
      </w:r>
      <w:r>
        <w:rPr>
          <w:rFonts w:ascii="Times New Roman" w:cs="Times New Roman" w:eastAsia="Times New Roman" w:hAnsi="Times New Roman"/>
          <w:sz w:val="18"/>
          <w:szCs w:val="18"/>
          <w:b w:val="1"/>
          <w:bCs w:val="1"/>
          <w:color w:val="auto"/>
        </w:rPr>
        <w:t>Expiration without Extension.</w:t>
      </w:r>
      <w:r>
        <w:rPr>
          <w:rFonts w:ascii="Times New Roman" w:cs="Times New Roman" w:eastAsia="Times New Roman" w:hAnsi="Times New Roman"/>
          <w:sz w:val="18"/>
          <w:szCs w:val="18"/>
          <w:color w:val="auto"/>
        </w:rPr>
        <w:t xml:space="preserve"> If KALA does not deliver an Extension Notice prior to the expiration of the Initial Term or any Renewal Term, this Agreement shall expire automatically at the end of such term. Upon such expiration: (a) the exclusive license under Article 3 shall terminate;</w:t>
      </w:r>
    </w:p>
    <w:p>
      <w:pPr>
        <w:spacing w:after="0" w:line="1" w:lineRule="exact"/>
        <w:rPr>
          <w:sz w:val="20"/>
          <w:szCs w:val="20"/>
          <w:color w:val="auto"/>
        </w:rPr>
      </w:pPr>
    </w:p>
    <w:p>
      <w:pPr>
        <w:jc w:val="both"/>
        <w:ind w:left="660" w:hanging="4"/>
        <w:spacing w:after="0" w:line="255" w:lineRule="auto"/>
        <w:tabs>
          <w:tab w:leader="none" w:pos="93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Younet shall have no further obligation to provide Renewal Deliverables or support; (c) KALA shall retain ownership of all Work Product delivered and accepted prior to expiration; and (d) Younet shall retain all compensation received prior to expiration. Neither Party shall have any liability to the other for KALA’s election not to extend.</w:t>
      </w:r>
    </w:p>
    <w:p>
      <w:pPr>
        <w:spacing w:after="0" w:line="18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11.03</w:t>
      </w:r>
      <w:r>
        <w:rPr>
          <w:sz w:val="20"/>
          <w:szCs w:val="20"/>
          <w:color w:val="auto"/>
        </w:rPr>
        <w:tab/>
      </w: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Either Party may terminate this Agreement upon thirty (30) days’ prior written notice if the other Party materially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breaches any provision of this Agreement and fails to cure such breach within such thirty (30)-day notice period.</w:t>
      </w:r>
    </w:p>
    <w:p>
      <w:pPr>
        <w:spacing w:after="0" w:line="15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11.04</w:t>
      </w:r>
      <w:r>
        <w:rPr>
          <w:sz w:val="20"/>
          <w:szCs w:val="20"/>
          <w:color w:val="auto"/>
        </w:rPr>
        <w:tab/>
      </w:r>
      <w:r>
        <w:rPr>
          <w:rFonts w:ascii="Times New Roman" w:cs="Times New Roman" w:eastAsia="Times New Roman" w:hAnsi="Times New Roman"/>
          <w:sz w:val="18"/>
          <w:szCs w:val="18"/>
          <w:b w:val="1"/>
          <w:bCs w:val="1"/>
          <w:color w:val="auto"/>
        </w:rPr>
        <w:t xml:space="preserve">Termination for Insolvency. </w:t>
      </w:r>
      <w:r>
        <w:rPr>
          <w:rFonts w:ascii="Times New Roman" w:cs="Times New Roman" w:eastAsia="Times New Roman" w:hAnsi="Times New Roman"/>
          <w:sz w:val="18"/>
          <w:szCs w:val="18"/>
          <w:color w:val="auto"/>
        </w:rPr>
        <w:t>Either Party may terminate this Agreement immediately upon written notice if the other Party: (a) becomes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insolvent; (b) files a petition in bankruptcy or has such a petition filed against it that is not dismissed within sixty (60) days; or (c) makes an assignment for the benefit of creditors.</w:t>
      </w:r>
    </w:p>
    <w:p>
      <w:pPr>
        <w:spacing w:after="0" w:line="17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11.05</w:t>
      </w:r>
      <w:r>
        <w:rPr>
          <w:sz w:val="20"/>
          <w:szCs w:val="20"/>
          <w:color w:val="auto"/>
        </w:rPr>
        <w:tab/>
      </w:r>
      <w:r>
        <w:rPr>
          <w:rFonts w:ascii="Times New Roman" w:cs="Times New Roman" w:eastAsia="Times New Roman" w:hAnsi="Times New Roman"/>
          <w:sz w:val="18"/>
          <w:szCs w:val="18"/>
          <w:b w:val="1"/>
          <w:bCs w:val="1"/>
          <w:color w:val="auto"/>
        </w:rPr>
        <w:t xml:space="preserve">Effects of Termination. </w:t>
      </w:r>
      <w:r>
        <w:rPr>
          <w:rFonts w:ascii="Times New Roman" w:cs="Times New Roman" w:eastAsia="Times New Roman" w:hAnsi="Times New Roman"/>
          <w:sz w:val="18"/>
          <w:szCs w:val="18"/>
          <w:color w:val="auto"/>
        </w:rPr>
        <w:t>Upon termination or expiration of this Agreement: (a) all licenses granted to Younet with respect to KALA Data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terminate; (b) all licenses granted to KALA with respect to Younet Background IP shall survive in accordance with their terms; (c) all Work Product completed as of the date of termination shall be delivered to and owned by KALA, with KALA responsible for any technical, infrastructure, or migration costs associated with such delivery; (d) Articles 4 (to the extent Shares have been issued), Article 5 (Acquisition Option), 6 (including Sections 5.06 and 5.07), 7, 8, 9, and 12 shall survive termination.</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12.01</w:t>
      </w:r>
      <w:r>
        <w:rPr>
          <w:sz w:val="20"/>
          <w:szCs w:val="20"/>
          <w:color w:val="auto"/>
        </w:rPr>
        <w:tab/>
      </w:r>
      <w:r>
        <w:rPr>
          <w:rFonts w:ascii="Times New Roman" w:cs="Times New Roman" w:eastAsia="Times New Roman" w:hAnsi="Times New Roman"/>
          <w:sz w:val="18"/>
          <w:szCs w:val="18"/>
          <w:b w:val="1"/>
          <w:bCs w:val="1"/>
          <w:color w:val="auto"/>
        </w:rPr>
        <w:t xml:space="preserve">Independent Contractor. </w:t>
      </w:r>
      <w:r>
        <w:rPr>
          <w:rFonts w:ascii="Times New Roman" w:cs="Times New Roman" w:eastAsia="Times New Roman" w:hAnsi="Times New Roman"/>
          <w:sz w:val="18"/>
          <w:szCs w:val="18"/>
          <w:color w:val="auto"/>
        </w:rPr>
        <w:t>Younet is an independent contractor and not an employee, agent, partner, or joint venturer of KALA. Nothing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be construed as creating an employer-employee, partnership, or joint venture relationship between the Parties.</w:t>
      </w:r>
    </w:p>
    <w:p>
      <w:pPr>
        <w:spacing w:after="0" w:line="15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12.02</w:t>
      </w:r>
      <w:r>
        <w:rPr>
          <w:sz w:val="20"/>
          <w:szCs w:val="20"/>
          <w:color w:val="auto"/>
        </w:rPr>
        <w:tab/>
      </w:r>
      <w:r>
        <w:rPr>
          <w:rFonts w:ascii="Times New Roman" w:cs="Times New Roman" w:eastAsia="Times New Roman" w:hAnsi="Times New Roman"/>
          <w:sz w:val="18"/>
          <w:szCs w:val="18"/>
          <w:b w:val="1"/>
          <w:bCs w:val="1"/>
          <w:color w:val="auto"/>
        </w:rPr>
        <w:t xml:space="preserve">Assignment. </w:t>
      </w:r>
      <w:r>
        <w:rPr>
          <w:rFonts w:ascii="Times New Roman" w:cs="Times New Roman" w:eastAsia="Times New Roman" w:hAnsi="Times New Roman"/>
          <w:sz w:val="18"/>
          <w:szCs w:val="18"/>
          <w:color w:val="auto"/>
        </w:rPr>
        <w:t>Neither Party may assign this Agreement or any of its rights or obligations hereunder without the prior written consent of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except that KALA may assign this Agreement to a successor in connection with a merger, acquisition, or sale of all or substantially all of its assets.</w:t>
      </w:r>
    </w:p>
    <w:p>
      <w:pPr>
        <w:spacing w:after="0" w:line="171"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12.03</w:t>
      </w:r>
      <w:r>
        <w:rPr>
          <w:sz w:val="20"/>
          <w:szCs w:val="20"/>
          <w:color w:val="auto"/>
        </w:rPr>
        <w:tab/>
      </w: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the laws of the State of New York, without giving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choice-of-law or conflict-of-law rules or provisions.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12.04</w:t>
      </w:r>
      <w:r>
        <w:rPr>
          <w:sz w:val="20"/>
          <w:szCs w:val="20"/>
          <w:color w:val="auto"/>
        </w:rPr>
        <w:tab/>
      </w:r>
      <w:r>
        <w:rPr>
          <w:rFonts w:ascii="Times New Roman" w:cs="Times New Roman" w:eastAsia="Times New Roman" w:hAnsi="Times New Roman"/>
          <w:sz w:val="18"/>
          <w:szCs w:val="18"/>
          <w:b w:val="1"/>
          <w:bCs w:val="1"/>
          <w:color w:val="auto"/>
        </w:rPr>
        <w:t xml:space="preserve">Dispute Resolution. </w:t>
      </w:r>
      <w:r>
        <w:rPr>
          <w:rFonts w:ascii="Times New Roman" w:cs="Times New Roman" w:eastAsia="Times New Roman" w:hAnsi="Times New Roman"/>
          <w:sz w:val="18"/>
          <w:szCs w:val="18"/>
          <w:color w:val="auto"/>
        </w:rPr>
        <w:t>Any dispute arising out of or relating to this Agreement shall be resolved by binding arbitration administered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American Arbitration Association in accordance with its Commercial Arbitration Rules. The prevailing Party in any such proceeding shall be entitled to recover its reasonable attorneys’ fees and costs.</w:t>
      </w:r>
    </w:p>
    <w:p>
      <w:pPr>
        <w:spacing w:after="0" w:line="171" w:lineRule="exact"/>
        <w:rPr>
          <w:sz w:val="20"/>
          <w:szCs w:val="20"/>
          <w:color w:val="auto"/>
        </w:rPr>
      </w:pPr>
    </w:p>
    <w:p>
      <w:pPr>
        <w:jc w:val="both"/>
        <w:ind w:left="660" w:right="2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12.05</w:t>
      </w:r>
      <w:r>
        <w:rPr>
          <w:sz w:val="20"/>
          <w:szCs w:val="20"/>
          <w:color w:val="auto"/>
        </w:rPr>
        <w:tab/>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under this Agreement shall be in writing and shall be deemed duly given when delivered personally, sent by nationally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recognized overnight courier, or sent by email (with confirmation of receipt) to the Parties at the addresses set forth in the preamble or to such other address as a Party may designate by written notice.</w:t>
      </w:r>
    </w:p>
    <w:p>
      <w:pPr>
        <w:spacing w:after="0" w:line="171"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12.06</w:t>
      </w:r>
      <w:r>
        <w:rPr>
          <w:sz w:val="20"/>
          <w:szCs w:val="20"/>
          <w:color w:val="auto"/>
        </w:rPr>
        <w:tab/>
      </w: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together with all Exhibits hereto, constitutes the entire agreement between the Parties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hereof and supersedes all prior and contemporaneous agreements, understandings, negotiations, and discussions, whether oral or written.</w:t>
      </w:r>
    </w:p>
    <w:p>
      <w:pPr>
        <w:spacing w:after="0" w:line="171"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12.07</w:t>
      </w:r>
      <w:r>
        <w:rPr>
          <w:sz w:val="20"/>
          <w:szCs w:val="20"/>
          <w:color w:val="auto"/>
        </w:rPr>
        <w:tab/>
      </w:r>
      <w:r>
        <w:rPr>
          <w:rFonts w:ascii="Times New Roman" w:cs="Times New Roman" w:eastAsia="Times New Roman" w:hAnsi="Times New Roman"/>
          <w:sz w:val="18"/>
          <w:szCs w:val="18"/>
          <w:b w:val="1"/>
          <w:bCs w:val="1"/>
          <w:color w:val="auto"/>
        </w:rPr>
        <w:t xml:space="preserve">Amendment. </w:t>
      </w:r>
      <w:r>
        <w:rPr>
          <w:rFonts w:ascii="Times New Roman" w:cs="Times New Roman" w:eastAsia="Times New Roman" w:hAnsi="Times New Roman"/>
          <w:sz w:val="18"/>
          <w:szCs w:val="18"/>
          <w:color w:val="auto"/>
        </w:rPr>
        <w:t>This Agreement may not be amended, modified, or supplemented except by a written instrument executed by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of both Parties.</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12.08</w:t>
      </w:r>
      <w:r>
        <w:rPr>
          <w:sz w:val="20"/>
          <w:szCs w:val="20"/>
          <w:color w:val="auto"/>
        </w:rPr>
        <w:tab/>
      </w:r>
      <w:r>
        <w:rPr>
          <w:rFonts w:ascii="Times New Roman" w:cs="Times New Roman" w:eastAsia="Times New Roman" w:hAnsi="Times New Roman"/>
          <w:sz w:val="17"/>
          <w:szCs w:val="17"/>
          <w:b w:val="1"/>
          <w:bCs w:val="1"/>
          <w:color w:val="auto"/>
        </w:rPr>
        <w:t xml:space="preserve">Waiver. </w:t>
      </w:r>
      <w:r>
        <w:rPr>
          <w:rFonts w:ascii="Times New Roman" w:cs="Times New Roman" w:eastAsia="Times New Roman" w:hAnsi="Times New Roman"/>
          <w:sz w:val="17"/>
          <w:szCs w:val="17"/>
          <w:color w:val="auto"/>
        </w:rPr>
        <w:t>No failure or delay by either Party in exercising any right or remedy under this Agreement shall constitute a waiver thereof.</w:t>
      </w:r>
    </w:p>
    <w:p>
      <w:pPr>
        <w:spacing w:after="0" w:line="22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12.09</w:t>
      </w:r>
      <w:r>
        <w:rPr>
          <w:sz w:val="20"/>
          <w:szCs w:val="20"/>
          <w:color w:val="auto"/>
        </w:rPr>
        <w:tab/>
      </w: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this Agreement is held to be invalid, illegal, or unenforceable, the remaining provisions shall remain in full force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effect.</w:t>
      </w:r>
    </w:p>
    <w:p>
      <w:pPr>
        <w:spacing w:after="0" w:line="15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12.10</w:t>
      </w:r>
      <w:r>
        <w:rPr>
          <w:sz w:val="20"/>
          <w:szCs w:val="20"/>
          <w:color w:val="auto"/>
        </w:rPr>
        <w:tab/>
      </w: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counterparts, each of which shall be deemed an original, and all of which together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one and the same instrument. Electronic signatures shall be deemed original signatures for all purposes.</w:t>
      </w:r>
    </w:p>
    <w:p>
      <w:pPr>
        <w:spacing w:after="0" w:line="15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12.11</w:t>
      </w:r>
      <w:r>
        <w:rPr>
          <w:sz w:val="20"/>
          <w:szCs w:val="20"/>
          <w:color w:val="auto"/>
        </w:rPr>
        <w:tab/>
      </w:r>
      <w:r>
        <w:rPr>
          <w:rFonts w:ascii="Times New Roman" w:cs="Times New Roman" w:eastAsia="Times New Roman" w:hAnsi="Times New Roman"/>
          <w:sz w:val="18"/>
          <w:szCs w:val="18"/>
          <w:b w:val="1"/>
          <w:bCs w:val="1"/>
          <w:color w:val="auto"/>
        </w:rPr>
        <w:t xml:space="preserve">Force Majeure. </w:t>
      </w:r>
      <w:r>
        <w:rPr>
          <w:rFonts w:ascii="Times New Roman" w:cs="Times New Roman" w:eastAsia="Times New Roman" w:hAnsi="Times New Roman"/>
          <w:sz w:val="18"/>
          <w:szCs w:val="18"/>
          <w:color w:val="auto"/>
        </w:rPr>
        <w:t>Neither Party shall be liable for any failure or delay in the performance of its obligations under this Agreement to the extent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failure or delay is caused by circumstances beyond its reasonable control, including but not limited to acts of God, natural disasters, war, terrorism, pandemics, government actions, or failure of third-party infrastructure.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as of the Effective Date.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KALA BIO, INC.</w:t>
      </w:r>
    </w:p>
    <w:p>
      <w:pPr>
        <w:spacing w:after="0" w:line="22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Avraham Minkowitz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Avraham Minkowitz</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2624465 ONTARIO INC.</w:t>
      </w:r>
    </w:p>
    <w:p>
      <w:pPr>
        <w:spacing w:after="0" w:line="22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Alex Kapralov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Alex Kapralov</w:t>
      </w:r>
    </w:p>
    <w:p>
      <w:pPr>
        <w:spacing w:after="0" w:line="23" w:lineRule="exact"/>
        <w:rPr>
          <w:sz w:val="20"/>
          <w:szCs w:val="20"/>
          <w:color w:val="auto"/>
        </w:rPr>
      </w:pPr>
    </w:p>
    <w:p>
      <w:pPr>
        <w:jc w:val="right"/>
        <w:ind w:right="1779"/>
        <w:spacing w:after="0"/>
        <w:tabs>
          <w:tab w:leader="none" w:pos="1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28" w:name="page29"/>
    <w:bookmarkEnd w:id="28"/>
    <w:p>
      <w:pPr>
        <w:ind w:left="4260"/>
        <w:spacing w:after="0"/>
        <w:rPr>
          <w:sz w:val="20"/>
          <w:szCs w:val="20"/>
          <w:color w:val="auto"/>
        </w:rPr>
      </w:pPr>
      <w:r>
        <w:rPr>
          <w:rFonts w:ascii="Times New Roman" w:cs="Times New Roman" w:eastAsia="Times New Roman" w:hAnsi="Times New Roman"/>
          <w:sz w:val="18"/>
          <w:szCs w:val="18"/>
          <w:b w:val="1"/>
          <w:bCs w:val="1"/>
          <w:color w:val="auto"/>
        </w:rPr>
        <w:t>EXHIBIT A — SCOPE OF WORK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delivered by Younet to KALA as part of the Researgency Platform Project</w:t>
      </w:r>
    </w:p>
    <w:p>
      <w:pPr>
        <w:spacing w:after="0" w:line="225"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Functional Researgency Platform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production-ready, fully operational Researgency biomedical AI research platform, configured for KALA’s use cases.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Hosting Infrastructure (Private Cloud)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of the Researgency platform on a dedicated, private cloud environment, ensuring data segregation and enhanced security for KALA.</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LLM Infrastructure (Private Cloud)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a dedicated large language model (LLM) infrastructure, hosted in a private cloud instance, isolated from other Younet clients.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Keys and Platform Control Access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secure access keys and implementation of robust platform access controls, enabling KALA to manage user permissions and platform administration.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Brain Module with Training Features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Agent Brain module, supporting the following training modalities: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Documentary Training: Upload and ingestion of documents for agent knowledge base expansion.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Textual Training: Direct text input for agent learning and contextual adaptation.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Chat Training: Real-time chat-based training sessions to refine agent responses.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Email (Gmail) Training: Ingestion and analysis of email content (via Gmail integration) for agent training purposes. Gmail module timeline may be longer than initial deliverable timeline, due to Google certification required for new domains.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Settings Module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an Agent Settings module, enabling agent customization in accordance with Younet’s standard configuration options.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“Speak to Product” Module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of a “Speak to Product” module, allowing users to generate real-time QR codes for instant agent sharing and onboarding functionality.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Sharing Module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Agent Sharing module, supporting both private and public link sharing of agents, with configurable access controls.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On-Premises Deployment Capability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architecture designed and configured to support full On-Premises Deployment within each client’s own secure computing environment, with no data transmitted to external servers, public clouds, or third-party AI services, consistent with the Data Sovereignty principles set forth in Section 2.12(b).</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Multi-Client Scalability Architecture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architecture designed from inception for multi-client deployment, enabling KALA to onboard additional biotech and pharmaceutical sublicensees without material rebuilding of core Platform systems.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Biomedical RAG Pipeline Infrastructure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retrieval-augmented generation (RAG) pipelines optimized for biomedical and pharmaceutical datasets, enabling the Platform to retrieve, synthesize, and analyze information from proprietary client data, published scientific literature, and regulatory databases.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KALA Internal Validation Configuration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configuration and adaptation of the Platform for application to KALA’s proprietary MSC-S platform datasets, KPI-012 preclinical and clinical data, and existing intellectual property portfolio, to support KALA’s internal validation and AI-driven reassessment of historical datasets during the Initial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deliverables will be provided in accordance with the specifications and acceptance criteria set forth in this Exhibit 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EXHIBIT B — MILESTONE SCHEDULE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Milestone</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 Date</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Payment Trigger</w:t>
            </w:r>
          </w:p>
        </w:tc>
        <w:tc>
          <w:tcPr>
            <w:tcW w:w="0" w:type="dxa"/>
            <w:vAlign w:val="bottom"/>
          </w:tcPr>
          <w:p>
            <w:pPr>
              <w:spacing w:after="0"/>
              <w:rPr>
                <w:sz w:val="1"/>
                <w:szCs w:val="1"/>
                <w:color w:val="auto"/>
              </w:rPr>
            </w:pPr>
          </w:p>
        </w:tc>
      </w:tr>
      <w:tr>
        <w:trPr>
          <w:trHeight w:val="40"/>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Upfront Payment ($80,000) + Initial</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 (5,000,000) — due on</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execution. Development</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Initial Term — Milestone 1</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Platform Access (standalone cloud</w:t>
            </w:r>
          </w:p>
        </w:tc>
        <w:tc>
          <w:tcPr>
            <w:tcW w:w="2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Effective Date + 5 days</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Continuation Payments</w:t>
            </w:r>
          </w:p>
        </w:tc>
        <w:tc>
          <w:tcPr>
            <w:tcW w:w="0" w:type="dxa"/>
            <w:vAlign w:val="bottom"/>
          </w:tcPr>
          <w:p>
            <w:pPr>
              <w:spacing w:after="0"/>
              <w:rPr>
                <w:sz w:val="1"/>
                <w:szCs w:val="1"/>
                <w:color w:val="auto"/>
              </w:rPr>
            </w:pPr>
          </w:p>
        </w:tc>
      </w:tr>
      <w:tr>
        <w:trPr>
          <w:trHeight w:val="126"/>
        </w:trPr>
        <w:tc>
          <w:tcPr>
            <w:tcW w:w="2840" w:type="dxa"/>
            <w:vAlign w:val="bottom"/>
            <w:tcBorders>
              <w:left w:val="single" w:sz="8" w:color="auto"/>
              <w:right w:val="single" w:sz="8" w:color="auto"/>
            </w:tcBorders>
            <w:vMerge w:val="continue"/>
          </w:tcPr>
          <w:p>
            <w:pPr>
              <w:spacing w:after="0"/>
              <w:rPr>
                <w:sz w:val="10"/>
                <w:szCs w:val="10"/>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instance + web interface)</w:t>
            </w:r>
          </w:p>
        </w:tc>
        <w:tc>
          <w:tcPr>
            <w:tcW w:w="2820" w:type="dxa"/>
            <w:vAlign w:val="bottom"/>
            <w:tcBorders>
              <w:right w:val="single" w:sz="8" w:color="auto"/>
            </w:tcBorders>
            <w:vMerge w:val="continue"/>
          </w:tcPr>
          <w:p>
            <w:pPr>
              <w:spacing w:after="0"/>
              <w:rPr>
                <w:sz w:val="10"/>
                <w:szCs w:val="10"/>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($50,000/month × 9 months)</w:t>
            </w:r>
          </w:p>
        </w:tc>
        <w:tc>
          <w:tcPr>
            <w:tcW w:w="0" w:type="dxa"/>
            <w:vAlign w:val="bottom"/>
          </w:tcPr>
          <w:p>
            <w:pPr>
              <w:spacing w:after="0"/>
              <w:rPr>
                <w:sz w:val="1"/>
                <w:szCs w:val="1"/>
                <w:color w:val="auto"/>
              </w:rPr>
            </w:pPr>
          </w:p>
        </w:tc>
      </w:tr>
      <w:tr>
        <w:trPr>
          <w:trHeight w:val="90"/>
        </w:trPr>
        <w:tc>
          <w:tcPr>
            <w:tcW w:w="2840" w:type="dxa"/>
            <w:vAlign w:val="bottom"/>
            <w:tcBorders>
              <w:left w:val="single" w:sz="8" w:color="auto"/>
              <w:right w:val="single" w:sz="8" w:color="auto"/>
            </w:tcBorders>
          </w:tcPr>
          <w:p>
            <w:pPr>
              <w:spacing w:after="0"/>
              <w:rPr>
                <w:sz w:val="7"/>
                <w:szCs w:val="7"/>
                <w:color w:val="auto"/>
              </w:rPr>
            </w:pPr>
          </w:p>
        </w:tc>
        <w:tc>
          <w:tcPr>
            <w:tcW w:w="2800" w:type="dxa"/>
            <w:vAlign w:val="bottom"/>
            <w:tcBorders>
              <w:right w:val="single" w:sz="8" w:color="auto"/>
            </w:tcBorders>
            <w:vMerge w:val="continue"/>
          </w:tcPr>
          <w:p>
            <w:pPr>
              <w:spacing w:after="0"/>
              <w:rPr>
                <w:sz w:val="7"/>
                <w:szCs w:val="7"/>
                <w:color w:val="auto"/>
              </w:rPr>
            </w:pPr>
          </w:p>
        </w:tc>
        <w:tc>
          <w:tcPr>
            <w:tcW w:w="2820" w:type="dxa"/>
            <w:vAlign w:val="bottom"/>
            <w:tcBorders>
              <w:right w:val="single" w:sz="8" w:color="auto"/>
            </w:tcBorders>
          </w:tcPr>
          <w:p>
            <w:pPr>
              <w:spacing w:after="0"/>
              <w:rPr>
                <w:sz w:val="7"/>
                <w:szCs w:val="7"/>
                <w:color w:val="auto"/>
              </w:rPr>
            </w:pPr>
          </w:p>
        </w:tc>
        <w:tc>
          <w:tcPr>
            <w:tcW w:w="27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commence in month 3 only upon</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KALA’s delivery of a Development</w:t>
            </w:r>
          </w:p>
        </w:tc>
        <w:tc>
          <w:tcPr>
            <w:tcW w:w="0" w:type="dxa"/>
            <w:vAlign w:val="bottom"/>
          </w:tcPr>
          <w:p>
            <w:pPr>
              <w:spacing w:after="0"/>
              <w:rPr>
                <w:sz w:val="1"/>
                <w:szCs w:val="1"/>
                <w:color w:val="auto"/>
              </w:rPr>
            </w:pPr>
          </w:p>
        </w:tc>
      </w:tr>
      <w:tr>
        <w:trPr>
          <w:trHeight w:val="234"/>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Continuation Notice.</w:t>
            </w:r>
          </w:p>
        </w:tc>
        <w:tc>
          <w:tcPr>
            <w:tcW w:w="0" w:type="dxa"/>
            <w:vAlign w:val="bottom"/>
          </w:tcPr>
          <w:p>
            <w:pPr>
              <w:spacing w:after="0"/>
              <w:rPr>
                <w:sz w:val="1"/>
                <w:szCs w:val="1"/>
                <w:color w:val="auto"/>
              </w:rPr>
            </w:pPr>
          </w:p>
        </w:tc>
      </w:tr>
      <w:tr>
        <w:trPr>
          <w:trHeight w:val="41"/>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Platform Delivery (working platform</w:t>
            </w: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Initial Term — Milestone 2</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 bio-med LLM agent</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 Date + 10 days</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Included in Initial Fee</w:t>
            </w:r>
          </w:p>
        </w:tc>
        <w:tc>
          <w:tcPr>
            <w:tcW w:w="0" w:type="dxa"/>
            <w:vAlign w:val="bottom"/>
          </w:tcPr>
          <w:p>
            <w:pPr>
              <w:spacing w:after="0"/>
              <w:rPr>
                <w:sz w:val="1"/>
                <w:szCs w:val="1"/>
                <w:color w:val="auto"/>
              </w:rPr>
            </w:pPr>
          </w:p>
        </w:tc>
      </w:tr>
      <w:tr>
        <w:trPr>
          <w:trHeight w:val="234"/>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functionality)</w:t>
            </w: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Full deployment, RAG optimization,</w:t>
            </w:r>
          </w:p>
        </w:tc>
        <w:tc>
          <w:tcPr>
            <w:tcW w:w="2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Commences upon Extension Notice</w:t>
            </w:r>
          </w:p>
        </w:tc>
        <w:tc>
          <w:tcPr>
            <w:tcW w:w="2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Extension Fee ($250,000) +</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First Renewal Term</w:t>
            </w: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custom agent development, ongoing</w:t>
            </w:r>
          </w:p>
        </w:tc>
        <w:tc>
          <w:tcPr>
            <w:tcW w:w="2820" w:type="dxa"/>
            <w:vAlign w:val="bottom"/>
            <w:tcBorders>
              <w:right w:val="single" w:sz="8" w:color="auto"/>
            </w:tcBorders>
            <w:vMerge w:val="continue"/>
          </w:tcPr>
          <w:p>
            <w:pPr>
              <w:spacing w:after="0"/>
              <w:rPr>
                <w:sz w:val="9"/>
                <w:szCs w:val="9"/>
                <w:color w:val="auto"/>
              </w:rPr>
            </w:pPr>
          </w:p>
        </w:tc>
        <w:tc>
          <w:tcPr>
            <w:tcW w:w="2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vMerge w:val="continue"/>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2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 Extension Fee</w:t>
            </w:r>
          </w:p>
        </w:tc>
        <w:tc>
          <w:tcPr>
            <w:tcW w:w="2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Extension Shares (5,000,000)</w:t>
            </w:r>
          </w:p>
        </w:tc>
        <w:tc>
          <w:tcPr>
            <w:tcW w:w="0" w:type="dxa"/>
            <w:vAlign w:val="bottom"/>
          </w:tcPr>
          <w:p>
            <w:pPr>
              <w:spacing w:after="0"/>
              <w:rPr>
                <w:sz w:val="1"/>
                <w:szCs w:val="1"/>
                <w:color w:val="auto"/>
              </w:rPr>
            </w:pPr>
          </w:p>
        </w:tc>
      </w:tr>
      <w:tr>
        <w:trPr>
          <w:trHeight w:val="126"/>
        </w:trPr>
        <w:tc>
          <w:tcPr>
            <w:tcW w:w="2840" w:type="dxa"/>
            <w:vAlign w:val="bottom"/>
            <w:tcBorders>
              <w:left w:val="single" w:sz="8" w:color="auto"/>
              <w:right w:val="single" w:sz="8" w:color="auto"/>
            </w:tcBorders>
          </w:tcPr>
          <w:p>
            <w:pPr>
              <w:spacing w:after="0"/>
              <w:rPr>
                <w:sz w:val="10"/>
                <w:szCs w:val="10"/>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support</w:t>
            </w:r>
          </w:p>
        </w:tc>
        <w:tc>
          <w:tcPr>
            <w:tcW w:w="2820" w:type="dxa"/>
            <w:vAlign w:val="bottom"/>
            <w:tcBorders>
              <w:right w:val="single" w:sz="8" w:color="auto"/>
            </w:tcBorders>
            <w:vMerge w:val="continue"/>
          </w:tcPr>
          <w:p>
            <w:pPr>
              <w:spacing w:after="0"/>
              <w:rPr>
                <w:sz w:val="10"/>
                <w:szCs w:val="10"/>
                <w:color w:val="auto"/>
              </w:rPr>
            </w:pPr>
          </w:p>
        </w:tc>
        <w:tc>
          <w:tcPr>
            <w:tcW w:w="2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2820" w:type="dxa"/>
            <w:vAlign w:val="bottom"/>
            <w:tcBorders>
              <w:right w:val="single" w:sz="8" w:color="auto"/>
            </w:tcBorders>
          </w:tcPr>
          <w:p>
            <w:pPr>
              <w:spacing w:after="0"/>
              <w:rPr>
                <w:sz w:val="9"/>
                <w:szCs w:val="9"/>
                <w:color w:val="auto"/>
              </w:rPr>
            </w:pPr>
          </w:p>
        </w:tc>
        <w:tc>
          <w:tcPr>
            <w:tcW w:w="2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Continued development, support,</w:t>
            </w:r>
          </w:p>
        </w:tc>
        <w:tc>
          <w:tcPr>
            <w:tcW w:w="2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Each 12-month period upon</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Extension Fee ($250,000) +</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Subsequent Renewal Terms</w:t>
            </w: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enhancements, additional agents as</w:t>
            </w:r>
          </w:p>
        </w:tc>
        <w:tc>
          <w:tcPr>
            <w:tcW w:w="2820" w:type="dxa"/>
            <w:vAlign w:val="bottom"/>
            <w:tcBorders>
              <w:right w:val="single" w:sz="8" w:color="auto"/>
            </w:tcBorders>
            <w:vMerge w:val="continue"/>
          </w:tcPr>
          <w:p>
            <w:pPr>
              <w:spacing w:after="0"/>
              <w:rPr>
                <w:sz w:val="9"/>
                <w:szCs w:val="9"/>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Extension Shares (5,000,000) per</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vMerge w:val="continue"/>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2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Extension Notice + Extension Fee</w:t>
            </w:r>
          </w:p>
        </w:tc>
        <w:tc>
          <w:tcPr>
            <w:tcW w:w="2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840" w:type="dxa"/>
            <w:vAlign w:val="bottom"/>
            <w:tcBorders>
              <w:left w:val="single" w:sz="8" w:color="auto"/>
              <w:right w:val="single" w:sz="8" w:color="auto"/>
            </w:tcBorders>
          </w:tcPr>
          <w:p>
            <w:pPr>
              <w:spacing w:after="0"/>
              <w:rPr>
                <w:sz w:val="10"/>
                <w:szCs w:val="10"/>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agreed</w:t>
            </w:r>
          </w:p>
        </w:tc>
        <w:tc>
          <w:tcPr>
            <w:tcW w:w="2820" w:type="dxa"/>
            <w:vAlign w:val="bottom"/>
            <w:tcBorders>
              <w:right w:val="single" w:sz="8" w:color="auto"/>
            </w:tcBorders>
            <w:vMerge w:val="continue"/>
          </w:tcPr>
          <w:p>
            <w:pPr>
              <w:spacing w:after="0"/>
              <w:rPr>
                <w:sz w:val="10"/>
                <w:szCs w:val="10"/>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Renewal Term</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2820" w:type="dxa"/>
            <w:vAlign w:val="bottom"/>
            <w:tcBorders>
              <w:right w:val="single" w:sz="8" w:color="auto"/>
            </w:tcBorders>
          </w:tcPr>
          <w:p>
            <w:pPr>
              <w:spacing w:after="0"/>
              <w:rPr>
                <w:sz w:val="9"/>
                <w:szCs w:val="9"/>
                <w:color w:val="auto"/>
              </w:rPr>
            </w:pPr>
          </w:p>
        </w:tc>
        <w:tc>
          <w:tcPr>
            <w:tcW w:w="2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54"/>
        </w:trPr>
        <w:tc>
          <w:tcPr>
            <w:tcW w:w="28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2"/>
          </w:tcPr>
          <w:p>
            <w:pPr>
              <w:ind w:left="2640"/>
              <w:spacing w:after="0"/>
              <w:rPr>
                <w:sz w:val="20"/>
                <w:szCs w:val="20"/>
                <w:color w:val="auto"/>
              </w:rPr>
            </w:pPr>
            <w:r>
              <w:rPr>
                <w:rFonts w:ascii="Times New Roman" w:cs="Times New Roman" w:eastAsia="Times New Roman" w:hAnsi="Times New Roman"/>
                <w:sz w:val="18"/>
                <w:szCs w:val="18"/>
                <w:color w:val="auto"/>
              </w:rPr>
              <w:t>B-1</w:t>
            </w:r>
          </w:p>
        </w:tc>
        <w:tc>
          <w:tcPr>
            <w:tcW w:w="2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KALA BIO Announces Strategic Initiative to Deploy and Continue to Develop an On-Premises AI Infrastructure Platform for the Biotech Industry; Enters Into Platform Development and Exclusive License Agreement for Proprietary AI Research Platform “Researgency”</w:t>
      </w:r>
    </w:p>
    <w:p>
      <w:pPr>
        <w:spacing w:after="0" w:line="176" w:lineRule="exact"/>
        <w:rPr>
          <w:sz w:val="20"/>
          <w:szCs w:val="20"/>
          <w:color w:val="auto"/>
        </w:rPr>
      </w:pPr>
    </w:p>
    <w:p>
      <w:pPr>
        <w:ind w:left="660" w:hanging="328"/>
        <w:spacing w:after="0" w:line="286" w:lineRule="auto"/>
        <w:tabs>
          <w:tab w:leader="none" w:pos="66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Company launches initiative to become a dedicated AI infrastructure partner for the biotechnology industry — to deploy secure, on-premises AI systems directly within client environments where proprietary data never leaves the client’s control</w:t>
      </w:r>
    </w:p>
    <w:p>
      <w:pPr>
        <w:spacing w:after="0" w:line="154"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8" w:lineRule="auto"/>
        <w:tabs>
          <w:tab w:leader="none" w:pos="66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Platform-as-a-service model designed to generate recurring revenue by licensing AI capabilities to biotech and pharmaceutical companies of all sizes — addressing a market where the top 20 pharma companies invested approximately $167 billion in R&amp;D in 2024 but have only recently begun to deploy meaningful AI budgets</w:t>
      </w:r>
    </w:p>
    <w:p>
      <w:pPr>
        <w:spacing w:after="0" w:line="170" w:lineRule="exact"/>
        <w:rPr>
          <w:rFonts w:ascii="Times New Roman" w:cs="Times New Roman" w:eastAsia="Times New Roman" w:hAnsi="Times New Roman"/>
          <w:sz w:val="18"/>
          <w:szCs w:val="18"/>
          <w:b w:val="1"/>
          <w:bCs w:val="1"/>
          <w:i w:val="1"/>
          <w:iCs w:val="1"/>
          <w:color w:val="auto"/>
        </w:rPr>
      </w:pPr>
    </w:p>
    <w:p>
      <w:pPr>
        <w:ind w:left="660" w:right="20" w:hanging="328"/>
        <w:spacing w:after="0" w:line="286" w:lineRule="auto"/>
        <w:tabs>
          <w:tab w:leader="none" w:pos="66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KALA to serve as its own first deployment client, applying Researgency to its proprietary MSC-S biological datasets and KPI-012 clinical program before scaling to external biotech partners</w:t>
      </w:r>
    </w:p>
    <w:p>
      <w:pPr>
        <w:spacing w:after="0" w:line="154" w:lineRule="exact"/>
        <w:rPr>
          <w:rFonts w:ascii="Times New Roman" w:cs="Times New Roman" w:eastAsia="Times New Roman" w:hAnsi="Times New Roman"/>
          <w:sz w:val="18"/>
          <w:szCs w:val="18"/>
          <w:b w:val="1"/>
          <w:bCs w:val="1"/>
          <w:i w:val="1"/>
          <w:iCs w:val="1"/>
          <w:color w:val="auto"/>
        </w:rPr>
      </w:pPr>
    </w:p>
    <w:p>
      <w:pPr>
        <w:ind w:left="660" w:hanging="328"/>
        <w:spacing w:after="0" w:line="286" w:lineRule="auto"/>
        <w:tabs>
          <w:tab w:leader="none" w:pos="66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Exclusive worldwide license secured for the Researgency platform in the biotechnology field for an initial 12-month term with successive renewal options; platform architecture designed from inception for multi-client deployment</w:t>
      </w:r>
    </w:p>
    <w:p>
      <w:pPr>
        <w:spacing w:after="0" w:line="154" w:lineRule="exact"/>
        <w:rPr>
          <w:rFonts w:ascii="Times New Roman" w:cs="Times New Roman" w:eastAsia="Times New Roman" w:hAnsi="Times New Roman"/>
          <w:sz w:val="18"/>
          <w:szCs w:val="18"/>
          <w:b w:val="1"/>
          <w:bCs w:val="1"/>
          <w:i w:val="1"/>
          <w:iCs w:val="1"/>
          <w:color w:val="auto"/>
        </w:rPr>
      </w:pPr>
    </w:p>
    <w:p>
      <w:pPr>
        <w:ind w:left="660" w:right="20" w:hanging="328"/>
        <w:spacing w:after="0" w:line="286" w:lineRule="auto"/>
        <w:tabs>
          <w:tab w:leader="none" w:pos="66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On-premises, data-sovereign architecture will differentiate Researgency from centralized AI platforms — will enable biotechs to leverage institutional-grade AI without surrendering control of their most valuable intellectual property</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ARLINGTON, Mass., March 4, 2026 (GLOBE NEWSWIRE) </w:t>
      </w:r>
      <w:r>
        <w:rPr>
          <w:rFonts w:ascii="Times New Roman" w:cs="Times New Roman" w:eastAsia="Times New Roman" w:hAnsi="Times New Roman"/>
          <w:sz w:val="18"/>
          <w:szCs w:val="18"/>
          <w:color w:val="auto"/>
        </w:rPr>
        <w:t>— KALA BIO, Inc. (NASDAQ: KALA) (“</w:t>
      </w:r>
      <w:r>
        <w:rPr>
          <w:rFonts w:ascii="Times New Roman" w:cs="Times New Roman" w:eastAsia="Times New Roman" w:hAnsi="Times New Roman"/>
          <w:sz w:val="18"/>
          <w:szCs w:val="18"/>
          <w:b w:val="1"/>
          <w:bCs w:val="1"/>
          <w:color w:val="auto"/>
        </w:rPr>
        <w:t>KALA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today announced a strategic initiative to build a biotechnology industry dedicated, on-premises artificial intelligence (“</w:t>
      </w:r>
      <w:r>
        <w:rPr>
          <w:rFonts w:ascii="Times New Roman" w:cs="Times New Roman" w:eastAsia="Times New Roman" w:hAnsi="Times New Roman"/>
          <w:sz w:val="18"/>
          <w:szCs w:val="18"/>
          <w:b w:val="1"/>
          <w:bCs w:val="1"/>
          <w:color w:val="auto"/>
        </w:rPr>
        <w:t>AI</w:t>
      </w:r>
      <w:r>
        <w:rPr>
          <w:rFonts w:ascii="Times New Roman" w:cs="Times New Roman" w:eastAsia="Times New Roman" w:hAnsi="Times New Roman"/>
          <w:sz w:val="18"/>
          <w:szCs w:val="18"/>
          <w:color w:val="auto"/>
        </w:rPr>
        <w:t>”) infrastructure platform, designed to be deployed directly within biotech and pharmaceutical client environments, enabling companies across the life sciences sector to unlock additional potential of their proprietary biological data without ever surrendering control of it.</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also announced that it has entered into a Platform Development and Exclusive License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2624465 Ontario Inc., operating as Younet AI (“</w:t>
      </w:r>
      <w:r>
        <w:rPr>
          <w:rFonts w:ascii="Times New Roman" w:cs="Times New Roman" w:eastAsia="Times New Roman" w:hAnsi="Times New Roman"/>
          <w:sz w:val="18"/>
          <w:szCs w:val="18"/>
          <w:b w:val="1"/>
          <w:bCs w:val="1"/>
          <w:color w:val="auto"/>
        </w:rPr>
        <w:t>Younet</w:t>
      </w:r>
      <w:r>
        <w:rPr>
          <w:rFonts w:ascii="Times New Roman" w:cs="Times New Roman" w:eastAsia="Times New Roman" w:hAnsi="Times New Roman"/>
          <w:sz w:val="18"/>
          <w:szCs w:val="18"/>
          <w:color w:val="auto"/>
        </w:rPr>
        <w:t>”), for a proprietary AI research platform, internally designated “Researgency,” designed to deploy custom, secure, large language models (“</w:t>
      </w:r>
      <w:r>
        <w:rPr>
          <w:rFonts w:ascii="Times New Roman" w:cs="Times New Roman" w:eastAsia="Times New Roman" w:hAnsi="Times New Roman"/>
          <w:sz w:val="18"/>
          <w:szCs w:val="18"/>
          <w:b w:val="1"/>
          <w:bCs w:val="1"/>
          <w:color w:val="auto"/>
        </w:rPr>
        <w:t>LLMs</w:t>
      </w:r>
      <w:r>
        <w:rPr>
          <w:rFonts w:ascii="Times New Roman" w:cs="Times New Roman" w:eastAsia="Times New Roman" w:hAnsi="Times New Roman"/>
          <w:sz w:val="18"/>
          <w:szCs w:val="18"/>
          <w:color w:val="auto"/>
        </w:rPr>
        <w:t>”) purpose-built for biomedical research and data science applications. The Agreement provides KALA with initial platform access during a 12-month initial term and the option, in KALA’s sole discretion, to extend the Agreement for successive 12-month renewal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Vision: AI Infrastructure for the Entire Biotech Industry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biotechnology industry faces a fundamental structural problem: thousands of small and mid-cap biotech companies are generating enormous volumes of proprietary biological data, from preclinical studies, clinical trials, genomic sequencing, protein interaction mapping, and secretome analysis, but the vast majority of these companies lack the internal resources, infrastructure, or specialized talent to deploy advanced AI capabilities against that data. At the same time, these companies are rightly unwilling to surrender their most sensitive intellectual property, the biological data, trade secrets, and clinical datasets that represent years of investment and form the core of their competitive advantage, to centralized, third-party cloud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KALA intends to solve this problem. The Company’s vision is to serve as a dedicated AI infrastructure partner for the biotechnology industry, deploying the Researgency platform directly within each client’s own secure environment, on their own servers, under their own control. In this model, KALA would provide the AI platform, the purpose-built biomedical agents, and the ongoing optimization, while the client would retain full ownership and custody of their data at all times. No proprietary information would ever leave the client’s infrastructure. No biological data would be shared with public AI services.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believes this on-premises, data-sovereign approach represents a fundamentally different model from the centralized AI platforms currently operating in the life sciences space. While established AI drug discovery companies, including well-funded, publicly traded platforms with billion-dollar market capitalizations, typically require clients to upload proprietary data to centralized cloud environments, KALA’s architecture is designed from inception to go to the client, not the other way around. The Company believes this distinction is critical in an industry where intellectual property, trade secrets, and regulatory-sensitive data represent the most valuable assets a company possesses. Younet’s current go to market strategy is focused on morphing and tech augmenting existing operating companies into Agentic Companies where a large bulk of repeat and time consuming tasks and research are passed on to teams of proprietary agents. KALA intends to build on top of this approach and implement Agentic Company strategy in biomedical field.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not building another centralized AI platform that asks biotechs to hand over their crown jewels,” said Avi Minkowitz, Chief Executive Officer of KALA BIO. “We are building the opposite. We want to be the company that shows up at the biotech company’s door, deploys institutional-grade AI on the biotech company’s servers, makes the biotech company’s data smarter, and never takes it from the biotech company. Hundreds of biotech companies are sitting on proprietary biological data that could yield breakthrough insights, but they cannot build this infrastructure themselves, and they should not have to trust a third party with their most sensitive assets. That is the gap we are filling. We intend to be an AI backbone of the biotech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Opportunity: A $167+ Billion R&amp;D Ecosystem Underserved by AI</w:t>
      </w:r>
    </w:p>
    <w:p>
      <w:pPr>
        <w:spacing w:after="0" w:line="233"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18"/>
          <w:szCs w:val="18"/>
          <w:color w:val="auto"/>
        </w:rPr>
        <w:t>The global AI drug discovery market is projected to grow at a compound annual growth rate approximately 25%,</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driven by AI’s demonstrated ability to compress traditional drug development timelines, which historically average 10 to 15 years and cost up to $2.6 billion per approved drug,</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to potentially as little as 12 to 18 months for preclinical candidate 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not independently verified the data or projections from third-party sources cited below. Such data involves risks and uncertainties and is subject to change based on various factors.</w:t>
      </w:r>
    </w:p>
    <w:p>
      <w:pPr>
        <w:jc w:val="both"/>
        <w:ind w:left="340" w:hanging="332"/>
        <w:spacing w:after="0" w:line="187" w:lineRule="auto"/>
        <w:tabs>
          <w:tab w:leader="none" w:pos="34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Mordor Intelligence, </w:t>
      </w:r>
      <w:r>
        <w:rPr>
          <w:rFonts w:ascii="Times New Roman" w:cs="Times New Roman" w:eastAsia="Times New Roman" w:hAnsi="Times New Roman"/>
          <w:sz w:val="18"/>
          <w:szCs w:val="18"/>
          <w:i w:val="1"/>
          <w:iCs w:val="1"/>
          <w:color w:val="auto"/>
        </w:rPr>
        <w:t>Artificial Intelligence in Drug Discovery Market — Size, Share &amp; Trends Analysis Report</w:t>
      </w:r>
      <w:r>
        <w:rPr>
          <w:rFonts w:ascii="Times New Roman" w:cs="Times New Roman" w:eastAsia="Times New Roman" w:hAnsi="Times New Roman"/>
          <w:sz w:val="18"/>
          <w:szCs w:val="18"/>
          <w:color w:val="auto"/>
        </w:rPr>
        <w:t xml:space="preserve"> (February 2026), estimating a CAGR of 25.94% from 2026–2031. See also Grand View Research, </w:t>
      </w:r>
      <w:r>
        <w:rPr>
          <w:rFonts w:ascii="Times New Roman" w:cs="Times New Roman" w:eastAsia="Times New Roman" w:hAnsi="Times New Roman"/>
          <w:sz w:val="18"/>
          <w:szCs w:val="18"/>
          <w:i w:val="1"/>
          <w:iCs w:val="1"/>
          <w:color w:val="auto"/>
        </w:rPr>
        <w:t>Artificial Intelligence in Drug Discovery Market Report, 2026–2033</w:t>
      </w:r>
      <w:r>
        <w:rPr>
          <w:rFonts w:ascii="Times New Roman" w:cs="Times New Roman" w:eastAsia="Times New Roman" w:hAnsi="Times New Roman"/>
          <w:sz w:val="18"/>
          <w:szCs w:val="18"/>
          <w:color w:val="auto"/>
        </w:rPr>
        <w:t xml:space="preserve"> (October 2024),</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estimating a CAGR of 24.8%.</w:t>
      </w:r>
    </w:p>
    <w:p>
      <w:pPr>
        <w:spacing w:after="0" w:line="9" w:lineRule="exact"/>
        <w:rPr>
          <w:sz w:val="20"/>
          <w:szCs w:val="20"/>
          <w:color w:val="auto"/>
        </w:rPr>
      </w:pPr>
    </w:p>
    <w:p>
      <w:pPr>
        <w:jc w:val="both"/>
        <w:ind w:left="340" w:hanging="332"/>
        <w:spacing w:after="0" w:line="225" w:lineRule="auto"/>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Deloitte, Measuring the Return from Pharmaceutical Innovation (March 2025), reporting an average cost of $2.23 billion per drug for the world’s 20 largest pharmaceutical companies in 2024. See also Mulcahy, A. et al., “Use of Clinical Trial Characteristics to Estimate Costs of New Drug Development,” JAMA Network Open, Vol. 8, No. 1, e2453275 (January 2025), estimating a mean R&amp;D cost of $1.31 billion per new drug approved by the FDA in 2019, after adjusting for cost of capital and discontinued products. Drug development timelines of 10 to 15 years are widely reported in peer-reviewed literature and industry analyses. See, e.g., U.S. Department of Health and Human Services, ASPE, Drug Development (October 2024); Human Specific Research, The Reality of Drug Discovery and Development (November 2025).</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both"/>
        <w:ind w:right="20"/>
        <w:spacing w:after="0" w:line="230" w:lineRule="auto"/>
        <w:rPr>
          <w:sz w:val="20"/>
          <w:szCs w:val="20"/>
          <w:color w:val="auto"/>
        </w:rPr>
      </w:pPr>
      <w:r>
        <w:rPr>
          <w:rFonts w:ascii="Times New Roman" w:cs="Times New Roman" w:eastAsia="Times New Roman" w:hAnsi="Times New Roman"/>
          <w:sz w:val="22"/>
          <w:szCs w:val="22"/>
          <w:color w:val="auto"/>
        </w:rPr>
        <w:t>while reducing costs by an estimated 30 to 40 percent.</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xml:space="preserve"> Dozens of AI-designed drug candidates are currently in clinical trials globally, up from only three in 2016,</w:t>
      </w: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2"/>
          <w:szCs w:val="22"/>
          <w:color w:val="auto"/>
        </w:rPr>
        <w:t xml:space="preserve"> with the first AI-discovered drug approvals anticipated in the near term.</w:t>
      </w:r>
    </w:p>
    <w:p>
      <w:pPr>
        <w:spacing w:after="0" w:line="6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world’s twenty largest pharmaceutical companies collectively invested approximately $167 billion in research and development in 2024,</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yet the pharmaceutical industry’s combined investment in AI-driven drug discovery was estimated at approximately $4 billion in 2025, expected to grow to approximately $25 billion by 2030.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The Company believes this represents one of the largest technology adoption gaps in any major industry.</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 importantly, the Company believes the addressable market for on-premises, secure, purpose-built AI infrastructure, specifically designed for small and mid-cap biotech companies that cannot afford to build in-house AI capabilities and are unwilling to send proprietary data to centralized platforms, is</w:t>
      </w:r>
    </w:p>
    <w:p>
      <w:pPr>
        <w:jc w:val="both"/>
        <w:spacing w:after="0" w:line="221" w:lineRule="auto"/>
        <w:rPr>
          <w:sz w:val="20"/>
          <w:szCs w:val="20"/>
          <w:color w:val="auto"/>
        </w:rPr>
      </w:pPr>
      <w:r>
        <w:rPr>
          <w:rFonts w:ascii="Times New Roman" w:cs="Times New Roman" w:eastAsia="Times New Roman" w:hAnsi="Times New Roman"/>
          <w:sz w:val="18"/>
          <w:szCs w:val="18"/>
          <w:color w:val="auto"/>
        </w:rPr>
        <w:t>substantially underserved. There are over 3,200 biotechnology companies in the United States alone,</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the majority of which are generating biological data that could benefit from AI-driven analysis but lack a viable, secure path to deploying it. KALA believes this segment represents a significant near-term revenue opportunity for a platform specifically architected to serve their needs.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Researgency and How Does It Work?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Researgency is a proprietary biomedical AI research platform licensed to KALA by Younet AI, a specialized artificial intelligence development firm with experience deploying over 100 custom AI agents for enterprise clients across healthcare, technology, and life sciences sectors.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platform is expected to be capable of deploying fully on-premises, secure AI systems that operate independently of any public AI service. In practical terms, Researgency works as follows: instead of relying on large teams of researchers to manually review thousands of scientific papers, clinical datasets, and biological records, a biotech company deploys purpose-built AI “agents”, specialized digital assistants trained exclusively on biomedical and pharmaceutical data, that can perform these tasks faster, more comprehensively, and at a fraction of the cost. Each agent is designed for a specific research function, such as analyzing protein interactions, reviewing drug safety literature, identifying new therapeutic targets, or modeling clinical trial outcomes. Intended narrow specialty of the agents shall significantly reduce hallucinations and save time on error corrections.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1783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left="340" w:hanging="332"/>
        <w:spacing w:after="0" w:line="196"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McKinsey &amp; Company, </w:t>
      </w:r>
      <w:r>
        <w:rPr>
          <w:rFonts w:ascii="Times New Roman" w:cs="Times New Roman" w:eastAsia="Times New Roman" w:hAnsi="Times New Roman"/>
          <w:sz w:val="18"/>
          <w:szCs w:val="18"/>
          <w:i w:val="1"/>
          <w:iCs w:val="1"/>
          <w:color w:val="auto"/>
        </w:rPr>
        <w:t>Generative AI in the Pharmaceutical Industry: Moving from Hype to Reality</w:t>
      </w:r>
      <w:r>
        <w:rPr>
          <w:rFonts w:ascii="Times New Roman" w:cs="Times New Roman" w:eastAsia="Times New Roman" w:hAnsi="Times New Roman"/>
          <w:sz w:val="18"/>
          <w:szCs w:val="18"/>
          <w:color w:val="auto"/>
        </w:rPr>
        <w:t xml:space="preserve"> (January 2024), estimating up to 50% cost reductions in clinical trial processes, and FounderNest, citing McKinsey &amp; Company and industry data, reporting AI platforms can cut drug discovery</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costs by up to 40% and compress timelines from 5–6 years to 12–18 months for preclinical candidate nomination.</w:t>
      </w:r>
    </w:p>
    <w:p>
      <w:pPr>
        <w:ind w:left="340" w:hanging="332"/>
        <w:spacing w:after="0" w:line="180" w:lineRule="auto"/>
        <w:tabs>
          <w:tab w:leader="none" w:pos="340" w:val="left"/>
        </w:tabs>
        <w:numPr>
          <w:ilvl w:val="0"/>
          <w:numId w:val="2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Jayatunga, M.K.P. et al., “AI in small-molecule drug discovery: A coming wave?” </w:t>
      </w:r>
      <w:r>
        <w:rPr>
          <w:rFonts w:ascii="Times New Roman" w:cs="Times New Roman" w:eastAsia="Times New Roman" w:hAnsi="Times New Roman"/>
          <w:sz w:val="16"/>
          <w:szCs w:val="16"/>
          <w:i w:val="1"/>
          <w:iCs w:val="1"/>
          <w:color w:val="auto"/>
        </w:rPr>
        <w:t>Nature Reviews Drug Discovery</w:t>
      </w:r>
      <w:r>
        <w:rPr>
          <w:rFonts w:ascii="Times New Roman" w:cs="Times New Roman" w:eastAsia="Times New Roman" w:hAnsi="Times New Roman"/>
          <w:sz w:val="16"/>
          <w:szCs w:val="16"/>
          <w:color w:val="auto"/>
        </w:rPr>
        <w:t xml:space="preserve"> (2022), as cited in the CAS</w:t>
      </w:r>
    </w:p>
    <w:p>
      <w:pPr>
        <w:spacing w:after="0" w:line="2" w:lineRule="exact"/>
        <w:rPr>
          <w:rFonts w:ascii="Times New Roman" w:cs="Times New Roman" w:eastAsia="Times New Roman" w:hAnsi="Times New Roman"/>
          <w:sz w:val="26"/>
          <w:szCs w:val="26"/>
          <w:color w:val="auto"/>
          <w:vertAlign w:val="superscript"/>
        </w:rPr>
      </w:pPr>
    </w:p>
    <w:p>
      <w:pPr>
        <w:ind w:left="34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Insights report, “AI Drug Discovery: Assessing the First AI-Designed Drug Candidates to Go into Human Clinical Trials” (June 2024). See also PMC,</w:t>
      </w:r>
    </w:p>
    <w:p>
      <w:pPr>
        <w:spacing w:after="0" w:line="7" w:lineRule="exact"/>
        <w:rPr>
          <w:sz w:val="20"/>
          <w:szCs w:val="20"/>
          <w:color w:val="auto"/>
        </w:rPr>
      </w:pPr>
    </w:p>
    <w:p>
      <w:pPr>
        <w:ind w:left="340"/>
        <w:spacing w:after="0" w:line="250" w:lineRule="auto"/>
        <w:rPr>
          <w:sz w:val="20"/>
          <w:szCs w:val="20"/>
          <w:color w:val="auto"/>
        </w:rPr>
      </w:pPr>
      <w:r>
        <w:rPr>
          <w:rFonts w:ascii="Times New Roman" w:cs="Times New Roman" w:eastAsia="Times New Roman" w:hAnsi="Times New Roman"/>
          <w:sz w:val="18"/>
          <w:szCs w:val="18"/>
          <w:color w:val="auto"/>
        </w:rPr>
        <w:t>“AI In Action: Redefining Drug Discovery and Development” (February 2025), documenting growth from 3 AI-designed clinical candidates in 2016 to 67 by 2023.</w:t>
      </w:r>
    </w:p>
    <w:p>
      <w:pPr>
        <w:spacing w:after="0" w:line="1" w:lineRule="exact"/>
        <w:rPr>
          <w:sz w:val="20"/>
          <w:szCs w:val="20"/>
          <w:color w:val="auto"/>
        </w:rPr>
      </w:pPr>
    </w:p>
    <w:p>
      <w:pPr>
        <w:ind w:left="340" w:right="20" w:hanging="332"/>
        <w:spacing w:after="0" w:line="187" w:lineRule="auto"/>
        <w:tabs>
          <w:tab w:leader="none" w:pos="34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Hardman &amp; Co, </w:t>
      </w:r>
      <w:r>
        <w:rPr>
          <w:rFonts w:ascii="Times New Roman" w:cs="Times New Roman" w:eastAsia="Times New Roman" w:hAnsi="Times New Roman"/>
          <w:sz w:val="18"/>
          <w:szCs w:val="18"/>
          <w:i w:val="1"/>
          <w:iCs w:val="1"/>
          <w:color w:val="auto"/>
        </w:rPr>
        <w:t>2024 Pharma Statistics</w:t>
      </w:r>
      <w:r>
        <w:rPr>
          <w:rFonts w:ascii="Times New Roman" w:cs="Times New Roman" w:eastAsia="Times New Roman" w:hAnsi="Times New Roman"/>
          <w:sz w:val="18"/>
          <w:szCs w:val="18"/>
          <w:color w:val="auto"/>
        </w:rPr>
        <w:t xml:space="preserve"> (April 2025). Cumulative R&amp;D spend by the top 20 pharmaceutical companies by sales was $166.8 billion in 2024 ($153.1 billion in 2023). Total R&amp;D spend across Hardman &amp; Co’s universe of 45 pharma companies was $194.3 billion in 2024.</w:t>
      </w:r>
    </w:p>
    <w:p>
      <w:pPr>
        <w:ind w:left="340" w:hanging="332"/>
        <w:spacing w:after="0" w:line="181" w:lineRule="auto"/>
        <w:tabs>
          <w:tab w:leader="none" w:pos="340"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FounderNest, </w:t>
      </w:r>
      <w:r>
        <w:rPr>
          <w:rFonts w:ascii="Times New Roman" w:cs="Times New Roman" w:eastAsia="Times New Roman" w:hAnsi="Times New Roman"/>
          <w:sz w:val="15"/>
          <w:szCs w:val="15"/>
          <w:i w:val="1"/>
          <w:iCs w:val="1"/>
          <w:color w:val="auto"/>
        </w:rPr>
        <w:t>Pharma at an Inflection Point: Investment Trends 2024–2025</w:t>
      </w:r>
      <w:r>
        <w:rPr>
          <w:rFonts w:ascii="Times New Roman" w:cs="Times New Roman" w:eastAsia="Times New Roman" w:hAnsi="Times New Roman"/>
          <w:sz w:val="15"/>
          <w:szCs w:val="15"/>
          <w:color w:val="auto"/>
        </w:rPr>
        <w:t xml:space="preserve"> (December 2025), reporting that 95% of pharmaceutical companies now</w:t>
      </w:r>
    </w:p>
    <w:p>
      <w:pPr>
        <w:spacing w:after="0" w:line="3" w:lineRule="exact"/>
        <w:rPr>
          <w:sz w:val="20"/>
          <w:szCs w:val="20"/>
          <w:color w:val="auto"/>
        </w:rPr>
      </w:pPr>
    </w:p>
    <w:p>
      <w:pPr>
        <w:jc w:val="both"/>
        <w:ind w:left="340"/>
        <w:spacing w:after="0" w:line="249" w:lineRule="auto"/>
        <w:rPr>
          <w:sz w:val="20"/>
          <w:szCs w:val="20"/>
          <w:color w:val="auto"/>
        </w:rPr>
      </w:pPr>
      <w:r>
        <w:rPr>
          <w:rFonts w:ascii="Times New Roman" w:cs="Times New Roman" w:eastAsia="Times New Roman" w:hAnsi="Times New Roman"/>
          <w:sz w:val="18"/>
          <w:szCs w:val="18"/>
          <w:color w:val="auto"/>
        </w:rPr>
        <w:t>invest in AI, with aggregate AI spending expected to grow from approximately $4 billion in 2025 to $25 billion by 2030. See also McKinsey &amp; Company (January 2024), estimating generative AI could generate $60 billion to $110 billion in annual economic value for the pharmaceutical and medical-product industries.</w:t>
      </w:r>
    </w:p>
    <w:p>
      <w:pPr>
        <w:spacing w:after="0" w:line="2" w:lineRule="exact"/>
        <w:rPr>
          <w:sz w:val="20"/>
          <w:szCs w:val="20"/>
          <w:color w:val="auto"/>
        </w:rPr>
      </w:pPr>
    </w:p>
    <w:p>
      <w:pPr>
        <w:ind w:left="340" w:hanging="332"/>
        <w:spacing w:after="0" w:line="187" w:lineRule="auto"/>
        <w:tabs>
          <w:tab w:leader="none" w:pos="34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IBISWorld, </w:t>
      </w:r>
      <w:r>
        <w:rPr>
          <w:rFonts w:ascii="Times New Roman" w:cs="Times New Roman" w:eastAsia="Times New Roman" w:hAnsi="Times New Roman"/>
          <w:sz w:val="18"/>
          <w:szCs w:val="18"/>
          <w:i w:val="1"/>
          <w:iCs w:val="1"/>
          <w:color w:val="auto"/>
        </w:rPr>
        <w:t>Biotechnology in the US — Number of Businesses</w:t>
      </w:r>
      <w:r>
        <w:rPr>
          <w:rFonts w:ascii="Times New Roman" w:cs="Times New Roman" w:eastAsia="Times New Roman" w:hAnsi="Times New Roman"/>
          <w:sz w:val="18"/>
          <w:szCs w:val="18"/>
          <w:color w:val="auto"/>
        </w:rPr>
        <w:t xml:space="preserve"> (2025), reporting 3,229 biotechnology businesses in the United States as of 2025 (NAICS classification).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4" w:name="page35"/>
    <w:bookmarkEnd w:id="34"/>
    <w:p>
      <w:pPr>
        <w:jc w:val="both"/>
        <w:spacing w:after="0" w:line="268" w:lineRule="auto"/>
        <w:rPr>
          <w:sz w:val="20"/>
          <w:szCs w:val="20"/>
          <w:color w:val="auto"/>
        </w:rPr>
      </w:pPr>
      <w:r>
        <w:rPr>
          <w:rFonts w:ascii="Times New Roman" w:cs="Times New Roman" w:eastAsia="Times New Roman" w:hAnsi="Times New Roman"/>
          <w:sz w:val="18"/>
          <w:szCs w:val="18"/>
          <w:color w:val="auto"/>
        </w:rPr>
        <w:t>The platform’s core architecture includes advanced retrieval-augmented generation (“</w:t>
      </w:r>
      <w:r>
        <w:rPr>
          <w:rFonts w:ascii="Times New Roman" w:cs="Times New Roman" w:eastAsia="Times New Roman" w:hAnsi="Times New Roman"/>
          <w:sz w:val="18"/>
          <w:szCs w:val="18"/>
          <w:b w:val="1"/>
          <w:bCs w:val="1"/>
          <w:color w:val="auto"/>
        </w:rPr>
        <w:t>RAG</w:t>
      </w:r>
      <w:r>
        <w:rPr>
          <w:rFonts w:ascii="Times New Roman" w:cs="Times New Roman" w:eastAsia="Times New Roman" w:hAnsi="Times New Roman"/>
          <w:sz w:val="18"/>
          <w:szCs w:val="18"/>
          <w:color w:val="auto"/>
        </w:rPr>
        <w:t>”) pipelines, scalable AI infrastructure, and proprietary training algorithms that have been validated through a completed feasibility study confirming adaptability to the complex analytical demands of biomedical research, drug discovery, and clinical data science.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technical differentiators include:</w:t>
      </w:r>
    </w:p>
    <w:p>
      <w:pPr>
        <w:spacing w:after="0" w:line="225" w:lineRule="exact"/>
        <w:rPr>
          <w:sz w:val="20"/>
          <w:szCs w:val="20"/>
          <w:color w:val="auto"/>
        </w:rPr>
      </w:pPr>
    </w:p>
    <w:p>
      <w:pPr>
        <w:ind w:left="660" w:hanging="328"/>
        <w:spacing w:after="0" w:line="286" w:lineRule="auto"/>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On-Premises Deployment: </w:t>
      </w:r>
      <w:r>
        <w:rPr>
          <w:rFonts w:ascii="Times New Roman" w:cs="Times New Roman" w:eastAsia="Times New Roman" w:hAnsi="Times New Roman"/>
          <w:sz w:val="18"/>
          <w:szCs w:val="18"/>
          <w:color w:val="auto"/>
        </w:rPr>
        <w:t>The entire AI system operates within the client’s own secure infrastructure. No data is transmitted to external servers,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clouds, or third-party AI services.</w:t>
      </w:r>
    </w:p>
    <w:p>
      <w:pPr>
        <w:spacing w:after="0" w:line="154" w:lineRule="exact"/>
        <w:rPr>
          <w:rFonts w:ascii="Times New Roman" w:cs="Times New Roman" w:eastAsia="Times New Roman" w:hAnsi="Times New Roman"/>
          <w:sz w:val="18"/>
          <w:szCs w:val="18"/>
          <w:b w:val="1"/>
          <w:bCs w:val="1"/>
          <w:color w:val="auto"/>
        </w:rPr>
      </w:pPr>
    </w:p>
    <w:p>
      <w:pPr>
        <w:ind w:left="660" w:right="20" w:hanging="328"/>
        <w:spacing w:after="0" w:line="286" w:lineRule="auto"/>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Custom Agent Architecture: </w:t>
      </w:r>
      <w:r>
        <w:rPr>
          <w:rFonts w:ascii="Times New Roman" w:cs="Times New Roman" w:eastAsia="Times New Roman" w:hAnsi="Times New Roman"/>
          <w:sz w:val="18"/>
          <w:szCs w:val="18"/>
          <w:color w:val="auto"/>
        </w:rPr>
        <w:t>Purpose-built AI agents are configured specifically for each client’s therapeutic focus areas, data types,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objectives, not generic, one-size-fits-all models.</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Full Data Sovereignty: </w:t>
      </w:r>
      <w:r>
        <w:rPr>
          <w:rFonts w:ascii="Times New Roman" w:cs="Times New Roman" w:eastAsia="Times New Roman" w:hAnsi="Times New Roman"/>
          <w:sz w:val="18"/>
          <w:szCs w:val="18"/>
          <w:color w:val="auto"/>
        </w:rPr>
        <w:t>Proprietary biological data, trade secrets, and intellectual property remain entirely under the client’s control at all times,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the highest standards of regulatory compliance and IP protection.</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Scalable Infrastructure: </w:t>
      </w:r>
      <w:r>
        <w:rPr>
          <w:rFonts w:ascii="Times New Roman" w:cs="Times New Roman" w:eastAsia="Times New Roman" w:hAnsi="Times New Roman"/>
          <w:sz w:val="18"/>
          <w:szCs w:val="18"/>
          <w:color w:val="auto"/>
        </w:rPr>
        <w:t>Platform architecture is designed from inception for multi-client deployment, enabling KALA to onboard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biotech clients without rebuilding core systems.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Platform Revenue Model: From Internal Tool to Industry Infrastructure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KALA intends to deploy the Researgency platform in a phased approach designed to validate performance, demonstrate value, and scale across the biotechnology industry: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Phase 1 — Internal Validation (Current): </w:t>
      </w:r>
      <w:r>
        <w:rPr>
          <w:rFonts w:ascii="Times New Roman" w:cs="Times New Roman" w:eastAsia="Times New Roman" w:hAnsi="Times New Roman"/>
          <w:sz w:val="18"/>
          <w:szCs w:val="18"/>
          <w:color w:val="auto"/>
        </w:rPr>
        <w:t>KALA serves as its own first deployment client, applying Researgency’s AI capabilities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MSC-S platform datasets, KPI-012 preclinical and clinical data, and existing intellectual property portfolio. The Company expects to complete its initial AI-driven reassessment of historical datasets and report preliminary findings during the 12-month initial term.</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Phase 2 — External Deployment: </w:t>
      </w:r>
      <w:r>
        <w:rPr>
          <w:rFonts w:ascii="Times New Roman" w:cs="Times New Roman" w:eastAsia="Times New Roman" w:hAnsi="Times New Roman"/>
          <w:sz w:val="18"/>
          <w:szCs w:val="18"/>
          <w:color w:val="auto"/>
        </w:rPr>
        <w:t>Following successful internal validation, KALA intends to begin licensing the Researgency platform to external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biotech and pharmaceutical clients on a recurring subscription basis. Each deployment would be customized for the client’s specific therapeutic focus, data environment, and research objectives, with the platform installed directly on the client’s own infrastructure.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Phase 3 — Platform Expansion: </w:t>
      </w:r>
      <w:r>
        <w:rPr>
          <w:rFonts w:ascii="Times New Roman" w:cs="Times New Roman" w:eastAsia="Times New Roman" w:hAnsi="Times New Roman"/>
          <w:sz w:val="18"/>
          <w:szCs w:val="18"/>
          <w:color w:val="auto"/>
        </w:rPr>
        <w:t>As the client base grows, KALA intends to expand Researgency’s capabilities to include advanced predictive modeling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drug discovery workflows, AI-powered hypothesis generation and experimental design, secure regulatory-compliant data management, and collaborative research tools for academic institutions, CROs, and pharmaceutical partners.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This phased approach is designed to transform KALA from a single-pipeline clinical-stage biopharmaceutical company into a </w:t>
      </w:r>
      <w:r>
        <w:rPr>
          <w:rFonts w:ascii="Times New Roman" w:cs="Times New Roman" w:eastAsia="Times New Roman" w:hAnsi="Times New Roman"/>
          <w:sz w:val="18"/>
          <w:szCs w:val="18"/>
          <w:b w:val="1"/>
          <w:bCs w:val="1"/>
          <w:color w:val="auto"/>
        </w:rPr>
        <w:t>platform company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recurring, scalable revenue </w:t>
      </w:r>
      <w:r>
        <w:rPr>
          <w:rFonts w:ascii="Times New Roman" w:cs="Times New Roman" w:eastAsia="Times New Roman" w:hAnsi="Times New Roman"/>
          <w:sz w:val="18"/>
          <w:szCs w:val="18"/>
          <w:color w:val="auto"/>
        </w:rPr>
        <w:t>derived from licensing AI infrastructure to the broader biotechnology industry, while simultaneously enhancing the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KALA’s own therapeutic programs.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Competitive Positioning: Why On-Premises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the current AI drug discovery landscape is dominated by centralized platform models that require biotech companies to upload proprietary data to third-party cloud environments. While these platforms have demonstrated the power of AI in drug discovery, they present significant barriers for the thousands of biotech companies whose proprietary biological data, trade secrets, and regulatory-sensitive information represent their most valuable assets.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KALA’s on-premises, data-sovereign model is designed to address this gap directly. The Company believes the competitive moat of the Researgency platform is built on several key advantages:</w:t>
      </w:r>
    </w:p>
    <w:p>
      <w:pPr>
        <w:spacing w:after="0" w:line="158"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Exclusive License: </w:t>
      </w:r>
      <w:r>
        <w:rPr>
          <w:rFonts w:ascii="Times New Roman" w:cs="Times New Roman" w:eastAsia="Times New Roman" w:hAnsi="Times New Roman"/>
          <w:sz w:val="18"/>
          <w:szCs w:val="18"/>
          <w:color w:val="auto"/>
        </w:rPr>
        <w:t>KALA holds exclusive worldwide rights to the Researgency platform within the biotechnology field.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Data Never Leaves the Client: </w:t>
      </w:r>
      <w:r>
        <w:rPr>
          <w:rFonts w:ascii="Times New Roman" w:cs="Times New Roman" w:eastAsia="Times New Roman" w:hAnsi="Times New Roman"/>
          <w:sz w:val="18"/>
          <w:szCs w:val="18"/>
          <w:color w:val="auto"/>
        </w:rPr>
        <w:t>Unlike centralized models, the Researgency platform deploys within the client’s own environment.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eliminates a large barrier to AI adoption among data-sensitive biotech companies.</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Deep Customization: </w:t>
      </w:r>
      <w:r>
        <w:rPr>
          <w:rFonts w:ascii="Times New Roman" w:cs="Times New Roman" w:eastAsia="Times New Roman" w:hAnsi="Times New Roman"/>
          <w:sz w:val="18"/>
          <w:szCs w:val="18"/>
          <w:color w:val="auto"/>
        </w:rPr>
        <w:t>Each deployment features purpose-built AI agents tailored to the client’s specific datasets and therapeutic areas, creating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 switching costs and long-term client retention.</w:t>
      </w:r>
    </w:p>
    <w:p>
      <w:pPr>
        <w:spacing w:after="0" w:line="154" w:lineRule="exact"/>
        <w:rPr>
          <w:rFonts w:ascii="Times New Roman" w:cs="Times New Roman" w:eastAsia="Times New Roman" w:hAnsi="Times New Roman"/>
          <w:sz w:val="18"/>
          <w:szCs w:val="18"/>
          <w:b w:val="1"/>
          <w:bCs w:val="1"/>
          <w:color w:val="auto"/>
        </w:rPr>
      </w:pPr>
    </w:p>
    <w:p>
      <w:pPr>
        <w:jc w:val="both"/>
        <w:ind w:left="660" w:right="20" w:hanging="328"/>
        <w:spacing w:after="0" w:line="268" w:lineRule="auto"/>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Platform Network Effects: </w:t>
      </w:r>
      <w:r>
        <w:rPr>
          <w:rFonts w:ascii="Times New Roman" w:cs="Times New Roman" w:eastAsia="Times New Roman" w:hAnsi="Times New Roman"/>
          <w:sz w:val="18"/>
          <w:szCs w:val="18"/>
          <w:color w:val="auto"/>
        </w:rPr>
        <w:t>As KALA deploys across multiple clients, the Company’s understanding of biomedical AI agent design, RAG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pipeline optimization, and deployment best practices should increase — creating an operational expertise moat that is expected to grow with each new deployment.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KALA Intends to Use Researgency Internally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its own first deployment client, KALA intends to apply AI-driven analytical tools through the Researgency platform to:</w:t>
      </w:r>
    </w:p>
    <w:p>
      <w:pPr>
        <w:spacing w:after="0" w:line="221" w:lineRule="exact"/>
        <w:rPr>
          <w:sz w:val="20"/>
          <w:szCs w:val="20"/>
          <w:color w:val="auto"/>
        </w:rPr>
      </w:pPr>
    </w:p>
    <w:p>
      <w:pPr>
        <w:ind w:left="660" w:right="20" w:hanging="328"/>
        <w:spacing w:after="0" w:line="286"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Reassess historical preclinical and clinical datasets </w:t>
      </w:r>
      <w:r>
        <w:rPr>
          <w:rFonts w:ascii="Times New Roman" w:cs="Times New Roman" w:eastAsia="Times New Roman" w:hAnsi="Times New Roman"/>
          <w:sz w:val="18"/>
          <w:szCs w:val="18"/>
          <w:color w:val="auto"/>
        </w:rPr>
        <w:t>— including the substantial biological data generated by the Company’s MSC-S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growth factors, protease inhibitors, matrix proteins, and neurotrophic factors</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Identify additional therapeutic indications or development pathways </w:t>
      </w:r>
      <w:r>
        <w:rPr>
          <w:rFonts w:ascii="Times New Roman" w:cs="Times New Roman" w:eastAsia="Times New Roman" w:hAnsi="Times New Roman"/>
          <w:sz w:val="18"/>
          <w:szCs w:val="18"/>
          <w:color w:val="auto"/>
        </w:rPr>
        <w:t>— by using AI to detect patterns in complex, multi-factorial biological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that conventional research methods may have overlooked</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Optimize trial design and probability-of-success modeling </w:t>
      </w:r>
      <w:r>
        <w:rPr>
          <w:rFonts w:ascii="Times New Roman" w:cs="Times New Roman" w:eastAsia="Times New Roman" w:hAnsi="Times New Roman"/>
          <w:sz w:val="18"/>
          <w:szCs w:val="18"/>
          <w:color w:val="auto"/>
        </w:rPr>
        <w:t>— reducing the time and cost associated with future clinical programs</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Support regulatory and commercialization strategy evaluation </w:t>
      </w:r>
      <w:r>
        <w:rPr>
          <w:rFonts w:ascii="Times New Roman" w:cs="Times New Roman" w:eastAsia="Times New Roman" w:hAnsi="Times New Roman"/>
          <w:sz w:val="18"/>
          <w:szCs w:val="18"/>
          <w:color w:val="auto"/>
        </w:rPr>
        <w:t>— including analysis of the Company’s existing FDA Orphan Drug and Fast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Track designations for its KPI-012 product candidate</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Automate literature review and competitive intelligence </w:t>
      </w:r>
      <w:r>
        <w:rPr>
          <w:rFonts w:ascii="Times New Roman" w:cs="Times New Roman" w:eastAsia="Times New Roman" w:hAnsi="Times New Roman"/>
          <w:sz w:val="18"/>
          <w:szCs w:val="18"/>
          <w:color w:val="auto"/>
        </w:rPr>
        <w:t>— enabling the Company to continuously monitor developments across the rapidly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evolving AI-biology landscape</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expects to report preliminary findings from its internal AI-driven data reassessment during the 12-month initial term, providing investors with tangible evidence of the platform’s capabilities prior to external deployment.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License Agreement and Terms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Agreement, KALA has secured exclusive worldwide license rights to the Researgency platform within the biotechnology field (as defined in the Agreement) and has received initial platform access to evaluate and demonstrate its capabilities. The exclusivity applies to the custom, dedicated platform configured for KALA and does not restrict Younet from operating its standard, generally available, multi-tenant SaaS platform. The Company intends to assess the platform’s performance during the 12-month initial term and, subject to satisfactory results, may elect to extend the Agreement for successive 12-month renewal terms, which would include expanded deployment of custom biotechnology-focused AI agents, RAG pipeline optimization, and full-scale integration with the Company’s proprietary data systems.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will be filed as an exhibit to the Company’s Current Report on Form 8-K with the Securities and Exchange Commission. Investors are encouraged to review the full text of the Agreement for complete terms and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opportunity we see is simple but enormous,” said Avi Minkowitz, Chief Executive Officer of KALA BIO. “The biotech industry is generating more biological data than ever before, and the companies that can analyze that data fastest, find the patterns others miss, and translate those insights into therapies will help define the next era of medicine. But here is the problem: building AI infrastructure is expensive, complex, and requires specialized talent that most biotechs don’t have. And the existing options ask biotech companies to hand their most sensitive data to someone else’s cloud. We are building a third path, we expect to bring the AI to biotech companies, it will run on biotech companies’ servers, the data will stay with the biotech companies, and they will get the analytical information that the largest pharmaceutical companies obtain internally. That is the future we are investing 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Minkowitz continued: “We are starting with ourselves. KALA is client number one. We will prove this platform on our own data, our MSC-S platform, our KPI-012 program, our IP portfolio. And once we have demonstrated what it can do, we intend to make it available to the broader biotech industry. We believe the companies that win in the next decade will not be the ones with the most data, they will be the ones with the best AI infrastructure to extract value from that data. KALA intends to be a company that provides that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and Corporate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an effective registration statement with the U.S. Securities and Exchange Commission, providing flexibility to access public capital, subject to market conditions and regulatory compliance. The Company may also attempt to raise capital privately. However, there is no assurance that the Company will be able to raise capital on favorable or acceptable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KALA BIO,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KALA BIO, Inc. (NASDAQ: KALA) is a clinical-stage biopharmaceutical company building a dedicated, on-premises AI infrastructure platform for the biotechnology industry. The Company’s dual strategy combines a proprietary biologics pipeline, including its mesenchymal stem cell secretome (MSC-S) platform and FDA Orphan Drug and Fast Track designated product candidates, with a scalable AI platform-as-a-service business designed to deploy secure, purpose-built AI systems directly within biotech and pharmaceutical client environments. Through its exclusive license for the Researgency AI research platform, KALA intends to serve as the dedicated AI infrastructure partner for the biotechnology industry, enabling companies of all sizes to unlock the value of their proprietary biological data without ever surrendering control of it. For more information, visit www.kalarx.com.</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statements regarding the Company’s strategic initiative to build an AI infrastructure platform for the biotechnology industry, plans to develop and deploy the Researgency AI platform both internally and to external clients, expectations regarding the potential benefits of AI-driven analytical tools, plans to reassess historical datasets and identify new therapeutic indications, expectations regarding the AI drug discovery market and industry trends, expectations regarding the Company’s ability to generate recurring platform revenue, plans regarding potential partnerships, client deployments, or technology licensing opportunities, expectations regarding the Company’s competitive position and the differentiation of its on-premises deployment model, the potential exercise of development continuation or renewal options under the Agreement, and other statements that are not historical facts.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used words like “anticipate,” “believe,” “continue,” “could,” “estimate,” “expect,” “intend,” “may,” “might,” “plan,” “potential,” “predict,” “project,” “should,” “target,” “will,” “would” and similar expressions to identify these forward-looking statements. These statements involve known and unknown risks, uncertainties, and other factors which may cause actual results, performance, or achievements to be materially different from those expressed or implied by such statements. Important factors that could cause such differences include, but are not limited to: risks that AI technologies may not produce expected results in drug discovery or development; risks related to the development, deployment, and performance of the Researgency platform; risks that the Company may not successfully attract or retain external platform clients; risks that the platform-as-a-service business model may not generate anticipated revenues; risks that the Company’s product candidates may not be successfully developed or commercialized; risks related to the Company’s limited cash resources and ability to continue as a going concern; risks that the third-party information contained herein was not accurate at the time it was published and/or does not accurately predict the future; risks related to the Company’s ability to raise future capital and the possibility that market conditions may limit the Company’s ability to raise capital on favorable terms; risks related to the Company’s ability to regain compliance with Nasdaq listing requirements; competition from larger, better-resourced companies including major technology and pharmaceutical companies; dependence on key personnel and third-party technology providers; the accuracy of third-party market forecasts and projections cited herein; risks that the Company may elect not to expand or continue its deployment of the Researgency platform beyond the initial term; risks that Younet may not perform its obligations under the Agreement; and other risks detailed in the “Risk Factors” section of the Company’s Annual Report on Form 10-K as they may be revised in the Company’s Quarterly Reports on Form 10-Q and Current Reports on Form 8-K and other filings with the Securities and Exchange Commission.</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release, and the Company undertakes no obligation to publicly update or revise any forward-looking statements, whether as a result of new information, future events, or otherwise, except as required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 Minkowitz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AM@kalarx.com</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upperLetter"/>
      <w:start w:val="1"/>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lowerLetter"/>
      <w:start w:val="3"/>
    </w:lvl>
  </w:abstractNum>
  <w:abstractNum w:abstractNumId="8">
    <w:nsid w:val="333AB105"/>
    <w:multiLevelType w:val="hybridMultilevel"/>
    <w:lvl w:ilvl="0">
      <w:lvlJc w:val="left"/>
      <w:lvlText w:val="(%1)"/>
      <w:numFmt w:val="lowerRoman"/>
      <w:start w:val="1"/>
    </w:lvl>
  </w:abstractNum>
  <w:abstractNum w:abstractNumId="9">
    <w:nsid w:val="721DA317"/>
    <w:multiLevelType w:val="hybridMultilevel"/>
    <w:lvl w:ilvl="0">
      <w:lvlJc w:val="left"/>
      <w:lvlText w:val="(%1)"/>
      <w:numFmt w:val="lowerRoman"/>
      <w:start w:val="4"/>
    </w:lvl>
  </w:abstractNum>
  <w:abstractNum w:abstractNumId="10">
    <w:nsid w:val="2443A858"/>
    <w:multiLevelType w:val="hybridMultilevel"/>
    <w:lvl w:ilvl="0">
      <w:lvlJc w:val="left"/>
      <w:lvlText w:val="(%1)"/>
      <w:numFmt w:val="lowerLetter"/>
      <w:start w:val="1"/>
    </w:lvl>
  </w:abstractNum>
  <w:abstractNum w:abstractNumId="11">
    <w:nsid w:val="2D1D5AE9"/>
    <w:multiLevelType w:val="hybridMultilevel"/>
    <w:lvl w:ilvl="0">
      <w:lvlJc w:val="left"/>
      <w:lvlText w:val="(%1)"/>
      <w:numFmt w:val="lowerLetter"/>
      <w:start w:val="4"/>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lowerRoman"/>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lowerLetter"/>
      <w:start w:val="6"/>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2"/>
    </w:lvl>
  </w:abstractNum>
  <w:abstractNum w:abstractNumId="21">
    <w:nsid w:val="2CA88611"/>
    <w:multiLevelType w:val="hybridMultilevel"/>
    <w:lvl w:ilvl="0">
      <w:lvlJc w:val="left"/>
      <w:lvlText w:val="%1."/>
      <w:numFmt w:val="decimal"/>
      <w:start w:val="1"/>
    </w:lvl>
    <w:lvl w:ilvl="1">
      <w:lvlJc w:val="left"/>
      <w:lvlText w:val="●"/>
      <w:numFmt w:val="bullet"/>
      <w:start w:val="1"/>
    </w:lvl>
    <w:lvl w:ilvl="2">
      <w:lvlJc w:val="left"/>
      <w:lvlText w:val="%3."/>
      <w:numFmt w:val="lowerRoman"/>
      <w:start w:val="1"/>
    </w:lvl>
  </w:abstractNum>
  <w:abstractNum w:abstractNumId="22">
    <w:nsid w:val="836C40E"/>
    <w:multiLevelType w:val="hybridMultilevel"/>
    <w:lvl w:ilvl="0">
      <w:lvlJc w:val="left"/>
      <w:lvlText w:val="%1."/>
      <w:numFmt w:val="decimal"/>
      <w:start w:val="9"/>
    </w:lvl>
    <w:lvl w:ilvl="1">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bullet"/>
      <w:start w:val="1"/>
    </w:lvl>
  </w:abstractNum>
  <w:abstractNum w:abstractNumId="25">
    <w:nsid w:val="8138641"/>
    <w:multiLevelType w:val="hybridMultilevel"/>
    <w:lvl w:ilvl="0">
      <w:lvlJc w:val="left"/>
      <w:lvlText w:val="2"/>
      <w:numFmt w:val="bullet"/>
      <w:start w:val="1"/>
    </w:lvl>
  </w:abstractNum>
  <w:abstractNum w:abstractNumId="26">
    <w:nsid w:val="1E7FF521"/>
    <w:multiLevelType w:val="hybridMultilevel"/>
    <w:lvl w:ilvl="0">
      <w:lvlJc w:val="left"/>
      <w:lvlText w:val="3"/>
      <w:numFmt w:val="bullet"/>
      <w:start w:val="1"/>
    </w:lvl>
  </w:abstractNum>
  <w:abstractNum w:abstractNumId="27">
    <w:nsid w:val="7C3DBD3D"/>
    <w:multiLevelType w:val="hybridMultilevel"/>
    <w:lvl w:ilvl="0">
      <w:lvlJc w:val="left"/>
      <w:lvlText w:val="4"/>
      <w:numFmt w:val="bullet"/>
      <w:start w:val="1"/>
    </w:lvl>
  </w:abstractNum>
  <w:abstractNum w:abstractNumId="28">
    <w:nsid w:val="737B8DDC"/>
    <w:multiLevelType w:val="hybridMultilevel"/>
    <w:lvl w:ilvl="0">
      <w:lvlJc w:val="left"/>
      <w:lvlText w:val="5"/>
      <w:numFmt w:val="bullet"/>
      <w:start w:val="1"/>
    </w:lvl>
  </w:abstractNum>
  <w:abstractNum w:abstractNumId="29">
    <w:nsid w:val="6CEAF087"/>
    <w:multiLevelType w:val="hybridMultilevel"/>
    <w:lvl w:ilvl="0">
      <w:lvlJc w:val="left"/>
      <w:lvlText w:val="6"/>
      <w:numFmt w:val="bullet"/>
      <w:start w:val="1"/>
    </w:lvl>
  </w:abstractNum>
  <w:abstractNum w:abstractNumId="30">
    <w:nsid w:val="22221A70"/>
    <w:multiLevelType w:val="hybridMultilevel"/>
    <w:lvl w:ilvl="0">
      <w:lvlJc w:val="left"/>
      <w:lvlText w:val="7"/>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2026-03-04T08:20:19Z</dcterms:created>
  <dcterms:modified xsi:type="dcterms:W3CDTF">2026-03-04T08:20:19Z</dcterms:modified>
</cp:coreProperties>
</file>