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600"/>
        <w:ind w:left="0" w:right="0" w:hanging="0"/>
        <w:jc w:val="left"/>
        <w:rPr/>
      </w:pPr>
      <w:hyperlink w:anchor="Toc">
        <w:bookmarkStart w:id="0" w:name="kala-20260630x10q.htm"/>
        <w:bookmarkStart w:id="1" w:name="kskala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uto" w:line="285" w:before="0" w:after="0"/>
        <w:ind w:left="0" w:right="0" w:hanging="0"/>
        <w:jc w:val="left"/>
        <w:rPr>
          <w:shd w:fill="00FF00" w:val="clear"/>
        </w:rPr>
      </w:pPr>
      <w:r>
        <w:rPr>
          <w:shd w:fill="00FF00" w:val="clea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0"/>
        </w:rPr>
      </w:pPr>
      <w:bookmarkStart w:id="2" w:name="_69d2615d_65c1_4368_9105_7b3622b9f20b"/>
      <w:bookmarkEnd w:id="2"/>
      <w:r>
        <w:rPr>
          <w:rFonts w:ascii="Times New Roman;Times;serif" w:hAnsi="Times New Roman;Times;serif"/>
          <w:b/>
          <w:sz w:val="30"/>
        </w:rPr>
        <w:t>UNITED STATES</w:t>
      </w:r>
    </w:p>
    <w:p>
      <w:pPr>
        <w:pStyle w:val="TextBody"/>
        <w:bidi w:val="0"/>
        <w:spacing w:lineRule="auto" w:line="285"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lineRule="auto" w:line="285" w:before="0" w:after="0"/>
              <w:jc w:val="left"/>
              <w:rPr/>
            </w:pPr>
            <w:r>
              <w:rPr/>
              <w:t>☒</w:t>
            </w:r>
          </w:p>
        </w:tc>
        <w:tc>
          <w:tcPr>
            <w:tcW w:w="9421" w:type="dxa"/>
            <w:tcBorders/>
            <w:vAlign w:val="center"/>
          </w:tcPr>
          <w:p>
            <w:pPr>
              <w:pStyle w:val="TableContents"/>
              <w:bidi w:val="0"/>
              <w:spacing w:lineRule="auto" w:line="285" w:before="0" w:after="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June 30, 2026</w:t>
      </w:r>
    </w:p>
    <w:p>
      <w:pPr>
        <w:pStyle w:val="TextBody"/>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OR</w:t>
      </w:r>
    </w:p>
    <w:p>
      <w:pPr>
        <w:pStyle w:val="TextBody"/>
        <w:bidi w:val="0"/>
        <w:spacing w:lineRule="auto" w:line="285" w:before="0" w:after="0"/>
        <w:ind w:left="0" w:right="0" w:hanging="0"/>
        <w:jc w:val="center"/>
        <w:rPr/>
      </w:pPr>
      <w:r>
        <w:rPr/>
        <w:t>​</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lineRule="auto" w:line="285" w:before="0" w:after="0"/>
              <w:jc w:val="left"/>
              <w:rPr/>
            </w:pPr>
            <w:r>
              <w:rPr/>
              <w:t>☐</w:t>
            </w:r>
          </w:p>
        </w:tc>
        <w:tc>
          <w:tcPr>
            <w:tcW w:w="9421" w:type="dxa"/>
            <w:tcBorders/>
            <w:vAlign w:val="center"/>
          </w:tcPr>
          <w:p>
            <w:pPr>
              <w:pStyle w:val="TableContents"/>
              <w:bidi w:val="0"/>
              <w:spacing w:lineRule="auto" w:line="285" w:before="0" w:after="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       </w:t>
      </w:r>
    </w:p>
    <w:p>
      <w:pPr>
        <w:pStyle w:val="TextBody"/>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Commission file number 001-38150</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KALA BIO, Inc.</w:t>
      </w:r>
    </w:p>
    <w:p>
      <w:pPr>
        <w:pStyle w:val="TextBody"/>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B2A1yLxHrE6mgMlC5_r6jw_3_1"/>
      <w:bookmarkStart w:id="4" w:name="Tc_Q95qkN3_jki7YW0h150gmg_3_0"/>
      <w:bookmarkStart w:id="5" w:name="Tc_gujPWMtH1EWI62Yl_r9j_A_2_1"/>
      <w:bookmarkStart w:id="6" w:name="Tc_v7CHx5pwWEuBqZVZ2vloTw_2_0"/>
      <w:bookmarkStart w:id="7" w:name="_772a86d6_6d65_4d3d_aa57_f192c3aed188"/>
      <w:bookmarkStart w:id="8" w:name="Tc_B2A1yLxHrE6mgMlC5_r6jw_3_1"/>
      <w:bookmarkStart w:id="9" w:name="Tc_Q95qkN3_jki7YW0h150gmg_3_0"/>
      <w:bookmarkStart w:id="10" w:name="Tc_gujPWMtH1EWI62Yl_r9j_A_2_1"/>
      <w:bookmarkStart w:id="11" w:name="Tc_v7CHx5pwWEuBqZVZ2vloTw_2_0"/>
      <w:bookmarkStart w:id="12" w:name="_772a86d6_6d65_4d3d_aa57_f192c3aed188"/>
      <w:bookmarkEnd w:id="8"/>
      <w:bookmarkEnd w:id="9"/>
      <w:bookmarkEnd w:id="10"/>
      <w:bookmarkEnd w:id="11"/>
      <w:bookmarkEnd w:id="12"/>
    </w:p>
    <w:tbl>
      <w:tblPr>
        <w:tblW w:w="3092" w:type="dxa"/>
        <w:jc w:val="left"/>
        <w:tblInd w:w="0" w:type="dxa"/>
        <w:tblLayout w:type="fixed"/>
        <w:tblCellMar>
          <w:top w:w="0" w:type="dxa"/>
          <w:left w:w="0" w:type="dxa"/>
          <w:bottom w:w="0" w:type="dxa"/>
          <w:right w:w="0" w:type="dxa"/>
        </w:tblCellMar>
      </w:tblPr>
      <w:tblGrid>
        <w:gridCol w:w="1876"/>
        <w:gridCol w:w="121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pBdr/>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1216" w:type="dxa"/>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27-0604595</w:t>
            </w:r>
          </w:p>
        </w:tc>
      </w:tr>
      <w:tr>
        <w:trPr/>
        <w:tc>
          <w:tcPr>
            <w:tcW w:w="1876" w:type="dxa"/>
            <w:tcBorders/>
            <w:vAlign w:val="center"/>
          </w:tcPr>
          <w:p>
            <w:pPr>
              <w:pStyle w:val="TableContents"/>
              <w:pBdr/>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w:t>
            </w:r>
          </w:p>
        </w:tc>
        <w:tc>
          <w:tcPr>
            <w:tcW w:w="1216" w:type="dxa"/>
            <w:tcBorders/>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(I.R.S. Employer</w:t>
            </w:r>
          </w:p>
        </w:tc>
      </w:tr>
      <w:tr>
        <w:trPr/>
        <w:tc>
          <w:tcPr>
            <w:tcW w:w="1876" w:type="dxa"/>
            <w:tcBorders/>
            <w:vAlign w:val="center"/>
          </w:tcPr>
          <w:p>
            <w:pPr>
              <w:pStyle w:val="TableContents"/>
              <w:pBdr/>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incorporation or organization)</w:t>
            </w:r>
          </w:p>
        </w:tc>
        <w:tc>
          <w:tcPr>
            <w:tcW w:w="1216" w:type="dxa"/>
            <w:tcBorders/>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13" w:name="Tc_fxVyWtV8hkGfzlv0YQHhAA_3_1"/>
      <w:bookmarkStart w:id="14" w:name="Tc_3bF3hw5JeUijB514YIVEug_3_0"/>
      <w:bookmarkStart w:id="15" w:name="Tc_6VwICLDla0ONKPLW3_p02A_2_0"/>
      <w:bookmarkStart w:id="16" w:name="_a67abdea_ca38_4d4d_8368_3e0276d84ace"/>
      <w:bookmarkStart w:id="17" w:name="Tc_fxVyWtV8hkGfzlv0YQHhAA_3_1"/>
      <w:bookmarkStart w:id="18" w:name="Tc_3bF3hw5JeUijB514YIVEug_3_0"/>
      <w:bookmarkStart w:id="19" w:name="Tc_6VwICLDla0ONKPLW3_p02A_2_0"/>
      <w:bookmarkStart w:id="20" w:name="_a67abdea_ca38_4d4d_8368_3e0276d84ace"/>
      <w:bookmarkEnd w:id="17"/>
      <w:bookmarkEnd w:id="18"/>
      <w:bookmarkEnd w:id="19"/>
      <w:bookmarkEnd w:id="20"/>
    </w:p>
    <w:tbl>
      <w:tblPr>
        <w:tblW w:w="3152" w:type="dxa"/>
        <w:jc w:val="left"/>
        <w:tblInd w:w="0" w:type="dxa"/>
        <w:tblLayout w:type="fixed"/>
        <w:tblCellMar>
          <w:top w:w="0" w:type="dxa"/>
          <w:left w:w="0" w:type="dxa"/>
          <w:bottom w:w="0" w:type="dxa"/>
          <w:right w:w="0" w:type="dxa"/>
        </w:tblCellMar>
      </w:tblPr>
      <w:tblGrid>
        <w:gridCol w:w="2386"/>
        <w:gridCol w:w="766"/>
      </w:tblGrid>
      <w:tr>
        <w:trPr/>
        <w:tc>
          <w:tcPr>
            <w:tcW w:w="238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1167 Massachusetts Avenue</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Arlington, MA</w:t>
            </w:r>
          </w:p>
        </w:tc>
        <w:tc>
          <w:tcPr>
            <w:tcW w:w="766" w:type="dxa"/>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02476</w:t>
            </w:r>
          </w:p>
        </w:tc>
      </w:tr>
      <w:tr>
        <w:trPr/>
        <w:tc>
          <w:tcPr>
            <w:tcW w:w="2386" w:type="dxa"/>
            <w:tcBorders/>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766" w:type="dxa"/>
            <w:tcBorders/>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(781) 996-5252</w:t>
      </w:r>
    </w:p>
    <w:p>
      <w:pPr>
        <w:pStyle w:val="TextBody"/>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lineRule="auto" w:line="285" w:before="0" w:after="0"/>
        <w:ind w:left="0" w:right="0" w:hanging="0"/>
        <w:jc w:val="center"/>
        <w:rPr/>
      </w:pPr>
      <w:r>
        <w:rPr/>
        <w:t>​</w:t>
      </w:r>
    </w:p>
    <w:tbl>
      <w:tblPr>
        <w:tblW w:w="6618" w:type="dxa"/>
        <w:jc w:val="left"/>
        <w:tblInd w:w="0" w:type="dxa"/>
        <w:tblLayout w:type="fixed"/>
        <w:tblCellMar>
          <w:top w:w="0" w:type="dxa"/>
          <w:left w:w="0" w:type="dxa"/>
          <w:bottom w:w="0" w:type="dxa"/>
          <w:right w:w="0" w:type="dxa"/>
        </w:tblCellMar>
      </w:tblPr>
      <w:tblGrid>
        <w:gridCol w:w="2701"/>
        <w:gridCol w:w="1216"/>
        <w:gridCol w:w="2701"/>
      </w:tblGrid>
      <w:tr>
        <w:trPr/>
        <w:tc>
          <w:tcPr>
            <w:tcW w:w="2701"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pPr>
            <w:r>
              <w:rPr/>
              <w:t>​</w:t>
            </w:r>
          </w:p>
        </w:tc>
        <w:tc>
          <w:tcPr>
            <w:tcW w:w="1216"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pPr>
            <w:r>
              <w:rPr/>
              <w:t>​</w:t>
            </w:r>
          </w:p>
        </w:tc>
        <w:tc>
          <w:tcPr>
            <w:tcW w:w="2701"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pPr>
            <w:r>
              <w:rPr/>
              <w:t>​</w:t>
            </w:r>
          </w:p>
        </w:tc>
      </w:tr>
      <w:tr>
        <w:trPr/>
        <w:tc>
          <w:tcPr>
            <w:tcW w:w="6618" w:type="dxa"/>
            <w:gridSpan w:val="3"/>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12(b) of the Act</w:t>
            </w:r>
          </w:p>
        </w:tc>
      </w:tr>
      <w:tr>
        <w:trPr/>
        <w:tc>
          <w:tcPr>
            <w:tcW w:w="27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8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4"/>
              </w:rPr>
              <w:t>Common Stock, $0.001 par value per share</w:t>
            </w:r>
            <w:r>
              <w:rPr>
                <w:rFonts w:ascii="Times New Roman;Times;serif" w:hAnsi="Times New Roman;Times;serif"/>
                <w:sz w:val="20"/>
              </w:rPr>
              <w:t xml:space="preserve"> </w:t>
            </w:r>
          </w:p>
        </w:tc>
        <w:tc>
          <w:tcPr>
            <w:tcW w:w="12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80" w:after="0"/>
              <w:ind w:left="0" w:right="0" w:hanging="0"/>
              <w:jc w:val="center"/>
              <w:rPr>
                <w:rFonts w:ascii="Times New Roman;Times;serif" w:hAnsi="Times New Roman;Times;serif"/>
                <w:b/>
                <w:sz w:val="14"/>
              </w:rPr>
            </w:pPr>
            <w:r>
              <w:rPr>
                <w:rFonts w:ascii="Times New Roman;Times;serif" w:hAnsi="Times New Roman;Times;serif"/>
                <w:b/>
                <w:sz w:val="14"/>
              </w:rPr>
              <w:t>Trading symbol(s)</w:t>
            </w:r>
          </w:p>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KALA</w:t>
            </w:r>
          </w:p>
        </w:tc>
        <w:tc>
          <w:tcPr>
            <w:tcW w:w="27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8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4"/>
              </w:rPr>
              <w:t>The Nasdaq</w:t>
            </w:r>
            <w:r>
              <w:rPr>
                <w:rFonts w:ascii="Times New Roman;Times;serif" w:hAnsi="Times New Roman;Times;serif"/>
                <w:sz w:val="20"/>
              </w:rPr>
              <w:t xml:space="preserve"> </w:t>
            </w:r>
            <w:r>
              <w:rPr>
                <w:rFonts w:ascii="Times New Roman;Times;serif" w:hAnsi="Times New Roman;Times;serif"/>
                <w:b/>
                <w:sz w:val="14"/>
              </w:rPr>
              <w:t>Capital Market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5" w:before="0" w:after="0"/>
        <w:ind w:left="0" w:right="0" w:hanging="0"/>
        <w:jc w:val="left"/>
        <w:rPr/>
      </w:pPr>
      <w:r>
        <w:rPr/>
        <w:t>​</w:t>
      </w:r>
    </w:p>
    <w:tbl>
      <w:tblPr>
        <w:tblW w:w="6139" w:type="dxa"/>
        <w:jc w:val="left"/>
        <w:tblInd w:w="0" w:type="dxa"/>
        <w:tblLayout w:type="fixed"/>
        <w:tblCellMar>
          <w:top w:w="0" w:type="dxa"/>
          <w:left w:w="0" w:type="dxa"/>
          <w:bottom w:w="0" w:type="dxa"/>
          <w:right w:w="0" w:type="dxa"/>
        </w:tblCellMar>
      </w:tblPr>
      <w:tblGrid>
        <w:gridCol w:w="1516"/>
        <w:gridCol w:w="1186"/>
        <w:gridCol w:w="1516"/>
        <w:gridCol w:w="192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1516" w:type="dxa"/>
            <w:tcBorders/>
            <w:vAlign w:val="center"/>
          </w:tcPr>
          <w:p>
            <w:pPr>
              <w:pStyle w:val="TableContents"/>
              <w:bidi w:val="0"/>
              <w:spacing w:before="0" w:after="283"/>
              <w:ind w:left="0" w:right="0" w:hanging="0"/>
              <w:jc w:val="left"/>
              <w:rPr>
                <w:sz w:val="4"/>
                <w:szCs w:val="4"/>
              </w:rPr>
            </w:pPr>
            <w:r>
              <w:rPr>
                <w:sz w:val="4"/>
                <w:szCs w:val="4"/>
              </w:rPr>
            </w:r>
          </w:p>
        </w:tc>
        <w:tc>
          <w:tcPr>
            <w:tcW w:w="1921" w:type="dxa"/>
            <w:tcBorders/>
            <w:vAlign w:val="center"/>
          </w:tcPr>
          <w:p>
            <w:pPr>
              <w:pStyle w:val="TableContents"/>
              <w:bidi w:val="0"/>
              <w:spacing w:before="0" w:after="283"/>
              <w:ind w:left="0" w:right="0" w:hanging="0"/>
              <w:jc w:val="left"/>
              <w:rPr>
                <w:sz w:val="4"/>
                <w:szCs w:val="4"/>
              </w:rPr>
            </w:pPr>
            <w:r>
              <w:rPr>
                <w:sz w:val="4"/>
                <w:szCs w:val="4"/>
              </w:rPr>
            </w:r>
          </w:p>
        </w:tc>
      </w:tr>
      <w:tr>
        <w:trPr/>
        <w:tc>
          <w:tcPr>
            <w:tcW w:w="15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1186" w:type="dxa"/>
            <w:tcBorders/>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Accelerated filer ☐</w:t>
            </w:r>
          </w:p>
        </w:tc>
        <w:tc>
          <w:tcPr>
            <w:tcW w:w="151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4"/>
              </w:rPr>
              <w:t>Non-accelerated filer</w:t>
            </w:r>
            <w:r>
              <w:rPr>
                <w:rFonts w:ascii="Times New Roman;Times;serif" w:hAnsi="Times New Roman;Times;serif"/>
                <w:sz w:val="20"/>
              </w:rPr>
              <w:t> ☒</w:t>
            </w:r>
          </w:p>
        </w:tc>
        <w:tc>
          <w:tcPr>
            <w:tcW w:w="1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14"/>
              </w:rPr>
              <w:t>Smaller reporting company </w:t>
            </w:r>
            <w:r>
              <w:rPr>
                <w:rFonts w:ascii="Times New Roman;Times;serif" w:hAnsi="Times New Roman;Times;serif"/>
                <w:sz w:val="20"/>
              </w:rPr>
              <w:t>☒</w:t>
            </w:r>
          </w:p>
        </w:tc>
      </w:tr>
      <w:tr>
        <w:trPr/>
        <w:tc>
          <w:tcPr>
            <w:tcW w:w="1516" w:type="dxa"/>
            <w:tcBorders/>
            <w:vAlign w:val="center"/>
          </w:tcPr>
          <w:p>
            <w:pPr>
              <w:pStyle w:val="TableContents"/>
              <w:bidi w:val="0"/>
              <w:spacing w:lineRule="auto" w:line="285" w:before="0" w:after="0"/>
              <w:ind w:left="0" w:right="0" w:hanging="0"/>
              <w:jc w:val="center"/>
              <w:rPr/>
            </w:pPr>
            <w:r>
              <w:rPr/>
              <w:t>​</w:t>
            </w:r>
          </w:p>
        </w:tc>
        <w:tc>
          <w:tcPr>
            <w:tcW w:w="1186"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before="0" w:after="283"/>
              <w:ind w:left="0" w:right="0" w:hanging="0"/>
              <w:jc w:val="left"/>
              <w:rPr>
                <w:sz w:val="4"/>
                <w:szCs w:val="4"/>
              </w:rPr>
            </w:pPr>
            <w:r>
              <w:rPr>
                <w:sz w:val="4"/>
                <w:szCs w:val="4"/>
              </w:rPr>
            </w:r>
          </w:p>
        </w:tc>
        <w:tc>
          <w:tcPr>
            <w:tcW w:w="19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14"/>
              </w:rPr>
              <w:t>Emerging growth company </w:t>
            </w: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4"/>
        </w:rPr>
        <w:t>No  </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There were 19,339,786 shares of Common Stock, $0.001 par value per share, outstanding as of August 14,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pBdr>
          <w:top w:val="single" w:sz="2" w:space="1" w:color="000000"/>
          <w:bottom w:val="single" w:sz="24"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2"/>
        </w:rPr>
      </w:pPr>
      <w:bookmarkStart w:id="21" w:name="Toc"/>
      <w:bookmarkStart w:id="22" w:name="_4c4cad20_cc11_4a64_92d0_f6e79798ed01"/>
      <w:bookmarkEnd w:id="21"/>
      <w:bookmarkEnd w:id="22"/>
      <w:r>
        <w:rPr>
          <w:rFonts w:ascii="Times New Roman;Times;serif" w:hAnsi="Times New Roman;Times;serif"/>
          <w:b/>
          <w:sz w:val="22"/>
        </w:rPr>
        <w:t>TABLE OF CONTENTS</w:t>
      </w:r>
    </w:p>
    <w:tbl>
      <w:tblPr>
        <w:tblW w:w="10205" w:type="dxa"/>
        <w:jc w:val="left"/>
        <w:tblInd w:w="0" w:type="dxa"/>
        <w:tblLayout w:type="fixed"/>
        <w:tblCellMar>
          <w:top w:w="0" w:type="dxa"/>
          <w:left w:w="0" w:type="dxa"/>
          <w:bottom w:w="0" w:type="dxa"/>
          <w:right w:w="0" w:type="dxa"/>
        </w:tblCellMar>
      </w:tblPr>
      <w:tblGrid>
        <w:gridCol w:w="715"/>
        <w:gridCol w:w="8632"/>
        <w:gridCol w:w="346"/>
        <w:gridCol w:w="512"/>
      </w:tblGrid>
      <w:tr>
        <w:trPr/>
        <w:tc>
          <w:tcPr>
            <w:tcW w:w="934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935345" cy="175260"/>
                      <wp:effectExtent l="0" t="0" r="0" b="0"/>
                      <wp:wrapNone/>
                      <wp:docPr id="1" name="Frame1"/>
                      <a:graphic xmlns:a="http://schemas.openxmlformats.org/drawingml/2006/main">
                        <a:graphicData uri="http://schemas.microsoft.com/office/word/2010/wordprocessingShape">
                          <wps:wsp>
                            <wps:cNvSpPr txBox="1"/>
                            <wps:spPr>
                              <a:xfrm>
                                <a:off x="0" y="0"/>
                                <a:ext cx="5935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25120" cy="175260"/>
                      <wp:effectExtent l="0" t="0" r="0" b="0"/>
                      <wp:wrapNone/>
                      <wp:docPr id="2" name="Frame2"/>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9347"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20"/>
              <w:ind w:left="0" w:right="0" w:hanging="0"/>
              <w:jc w:val="center"/>
              <w:rPr/>
            </w:pPr>
            <w:r>
              <w:rPr/>
              <w:t>  ​ ​ ​</w:t>
            </w:r>
          </w:p>
        </w:tc>
        <w:tc>
          <w:tcPr>
            <w:tcW w:w="512" w:type="dxa"/>
            <w:tcBorders>
              <w:bottom w:val="single" w:sz="2" w:space="0" w:color="000000"/>
            </w:tcBorders>
            <w:tcMar>
              <w:bottom w:w="28" w:type="dxa"/>
            </w:tcMar>
            <w:vAlign w:val="center"/>
          </w:tcPr>
          <w:p>
            <w:pPr>
              <w:pStyle w:val="TableContents"/>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47" w:type="dxa"/>
            <w:gridSpan w:val="2"/>
            <w:tcBorders/>
            <w:vAlign w:val="center"/>
          </w:tcPr>
          <w:p>
            <w:pPr>
              <w:pStyle w:val="TableContents"/>
              <w:pBdr/>
              <w:bidi w:val="0"/>
              <w:spacing w:lineRule="auto" w:line="285" w:before="0" w:after="0"/>
              <w:ind w:left="0" w:right="0" w:hanging="0"/>
              <w:jc w:val="left"/>
              <w:rPr/>
            </w:pPr>
            <w:hyperlink w:anchor="PARTIFINANCIALINFORMATION_87139">
              <w:r>
                <w:rPr>
                  <w:rStyle w:val="InternetLink"/>
                  <w:rFonts w:ascii="Times New Roman;Times;serif" w:hAnsi="Times New Roman;Times;serif"/>
                  <w:b/>
                  <w:i w:val="false"/>
                  <w:caps w:val="false"/>
                  <w:smallCaps w:val="false"/>
                  <w:sz w:val="22"/>
                </w:rPr>
                <w:t>PART I – FINANCIAL INFORMATION</w:t>
              </w:r>
            </w:hyperlink>
          </w:p>
        </w:tc>
        <w:tc>
          <w:tcPr>
            <w:tcW w:w="346" w:type="dxa"/>
            <w:tcBorders/>
            <w:vAlign w:val="center"/>
          </w:tcPr>
          <w:p>
            <w:pPr>
              <w:pStyle w:val="TableContents"/>
              <w:bidi w:val="0"/>
              <w:spacing w:lineRule="auto" w:line="285" w:before="0" w:after="0"/>
              <w:ind w:left="0" w:right="0" w:hanging="0"/>
              <w:jc w:val="righ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47" w:type="dxa"/>
            <w:gridSpan w:val="2"/>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Item 1.</w:t>
              </w:r>
            </w:hyperlink>
          </w:p>
        </w:tc>
        <w:tc>
          <w:tcPr>
            <w:tcW w:w="8632" w:type="dxa"/>
            <w:tcBorders/>
            <w:vAlign w:val="center"/>
          </w:tcPr>
          <w:p>
            <w:pPr>
              <w:pStyle w:val="TableContents"/>
              <w:pBdr/>
              <w:bidi w:val="0"/>
              <w:spacing w:lineRule="auto" w:line="285"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Financial Statements (Unaudited)</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hyperlink w:anchor="BALANCESHEETS_18149">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hyperlink w:anchor="OPERATIONS_433644">
              <w:r>
                <w:rPr>
                  <w:rStyle w:val="InternetLink"/>
                  <w:rFonts w:ascii="Times New Roman;Times;serif" w:hAnsi="Times New Roman;Times;serif"/>
                  <w:b w:val="false"/>
                  <w:i w:val="false"/>
                  <w:caps w:val="false"/>
                  <w:smallCaps w:val="false"/>
                  <w:sz w:val="20"/>
                </w:rPr>
                <w:t>Condensed Consolidated Statement of Operations and Comprehensive Loss for the three and six months ended June 30, 2026 and 2025</w:t>
              </w:r>
            </w:hyperlink>
          </w:p>
        </w:tc>
        <w:tc>
          <w:tcPr>
            <w:tcW w:w="346" w:type="dxa"/>
            <w:tcBorders/>
            <w:vAlign w:val="center"/>
          </w:tcPr>
          <w:p>
            <w:pPr>
              <w:pStyle w:val="TableContents"/>
              <w:bidi w:val="0"/>
              <w:spacing w:lineRule="auto" w:line="285" w:before="0" w:after="0"/>
              <w:ind w:left="0" w:right="0" w:hanging="0"/>
              <w:jc w:val="righ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hyperlink w:anchor="STATEMENTOFEQUITY">
              <w:r>
                <w:rPr>
                  <w:rStyle w:val="InternetLink"/>
                  <w:rFonts w:ascii="Times New Roman;Times;serif" w:hAnsi="Times New Roman;Times;serif"/>
                  <w:b w:val="false"/>
                  <w:i w:val="false"/>
                  <w:caps w:val="false"/>
                  <w:smallCaps w:val="false"/>
                  <w:sz w:val="20"/>
                </w:rPr>
                <w:t>Condensed Consolidated Statements of Changes in Stockholders’ Equity (Deficit) for the three and six months ended June 30, 2026 and 2025</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hyperlink w:anchor="CASHFLOWS_579017">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hyperlink w:anchor="NOTESTOFINANCIALSTATEMENTS_669332">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632" w:type="dxa"/>
            <w:tcBorders/>
            <w:vAlign w:val="center"/>
          </w:tcPr>
          <w:p>
            <w:pPr>
              <w:pStyle w:val="TableContents"/>
              <w:pBdr/>
              <w:bidi w:val="0"/>
              <w:spacing w:lineRule="auto" w:line="285"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632" w:type="dxa"/>
            <w:tcBorders/>
            <w:vAlign w:val="center"/>
          </w:tcPr>
          <w:p>
            <w:pPr>
              <w:pStyle w:val="TableContents"/>
              <w:pBdr/>
              <w:bidi w:val="0"/>
              <w:spacing w:lineRule="auto" w:line="285"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hyperlink w:anchor="Item4ControlsandProcedures_593548">
              <w:r>
                <w:rPr>
                  <w:rStyle w:val="InternetLink"/>
                  <w:rFonts w:ascii="Times New Roman;Times;serif" w:hAnsi="Times New Roman;Times;serif"/>
                  <w:b w:val="false"/>
                  <w:i w:val="false"/>
                  <w:caps w:val="false"/>
                  <w:smallCaps w:val="false"/>
                  <w:sz w:val="20"/>
                </w:rPr>
                <w:t>Item 4.</w:t>
              </w:r>
            </w:hyperlink>
          </w:p>
        </w:tc>
        <w:tc>
          <w:tcPr>
            <w:tcW w:w="8632" w:type="dxa"/>
            <w:tcBorders/>
            <w:vAlign w:val="center"/>
          </w:tcPr>
          <w:p>
            <w:pPr>
              <w:pStyle w:val="TableContents"/>
              <w:pBdr/>
              <w:bidi w:val="0"/>
              <w:spacing w:lineRule="auto" w:line="285" w:before="0" w:after="0"/>
              <w:ind w:left="0" w:right="0" w:hanging="0"/>
              <w:jc w:val="left"/>
              <w:rPr/>
            </w:pPr>
            <w:hyperlink w:anchor="Item4ControlsandProcedures_593548">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9347" w:type="dxa"/>
            <w:gridSpan w:val="2"/>
            <w:tcBorders/>
            <w:vAlign w:val="center"/>
          </w:tcPr>
          <w:p>
            <w:pPr>
              <w:pStyle w:val="TableContents"/>
              <w:pBdr/>
              <w:bidi w:val="0"/>
              <w:spacing w:lineRule="auto" w:line="285" w:before="0" w:after="0"/>
              <w:ind w:left="0" w:right="0" w:hanging="0"/>
              <w:jc w:val="left"/>
              <w:rPr/>
            </w:pPr>
            <w:hyperlink w:anchor="PARTIIOTHERINFORMATION_139766">
              <w:r>
                <w:rPr>
                  <w:rStyle w:val="InternetLink"/>
                  <w:rFonts w:ascii="Times New Roman;Times;serif" w:hAnsi="Times New Roman;Times;serif"/>
                  <w:b/>
                  <w:i w:val="false"/>
                  <w:caps w:val="false"/>
                  <w:smallCaps w:val="false"/>
                  <w:sz w:val="22"/>
                </w:rPr>
                <w:t>PART II – OTHER INFORMATION</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hyperlink w:anchor="Item1LegalProceedings_45369">
              <w:r>
                <w:rPr>
                  <w:rStyle w:val="InternetLink"/>
                  <w:rFonts w:ascii="Times New Roman;Times;serif" w:hAnsi="Times New Roman;Times;serif"/>
                  <w:b w:val="false"/>
                  <w:i w:val="false"/>
                  <w:caps w:val="false"/>
                  <w:smallCaps w:val="false"/>
                  <w:sz w:val="20"/>
                </w:rPr>
                <w:t>Item 1.</w:t>
              </w:r>
            </w:hyperlink>
          </w:p>
        </w:tc>
        <w:tc>
          <w:tcPr>
            <w:tcW w:w="8632" w:type="dxa"/>
            <w:tcBorders/>
            <w:vAlign w:val="center"/>
          </w:tcPr>
          <w:p>
            <w:pPr>
              <w:pStyle w:val="TableContents"/>
              <w:pBdr/>
              <w:bidi w:val="0"/>
              <w:spacing w:lineRule="auto" w:line="285" w:before="0" w:after="0"/>
              <w:ind w:left="0" w:right="0" w:hanging="0"/>
              <w:jc w:val="left"/>
              <w:rPr/>
            </w:pPr>
            <w:hyperlink w:anchor="Item1LegalProceedings_45369">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hyperlink w:anchor="Item_1A_Risk_Factors">
              <w:r>
                <w:rPr>
                  <w:rStyle w:val="InternetLink"/>
                  <w:rFonts w:ascii="Times New Roman;Times;serif" w:hAnsi="Times New Roman;Times;serif"/>
                  <w:b w:val="false"/>
                  <w:i w:val="false"/>
                  <w:caps w:val="false"/>
                  <w:smallCaps w:val="false"/>
                  <w:sz w:val="20"/>
                </w:rPr>
                <w:t>Item 1A.</w:t>
              </w:r>
            </w:hyperlink>
          </w:p>
        </w:tc>
        <w:tc>
          <w:tcPr>
            <w:tcW w:w="8632" w:type="dxa"/>
            <w:tcBorders/>
            <w:vAlign w:val="center"/>
          </w:tcPr>
          <w:p>
            <w:pPr>
              <w:pStyle w:val="TableContents"/>
              <w:pBdr/>
              <w:bidi w:val="0"/>
              <w:spacing w:lineRule="auto" w:line="285" w:before="0" w:after="0"/>
              <w:ind w:left="0" w:right="0" w:hanging="0"/>
              <w:jc w:val="left"/>
              <w:rPr/>
            </w:pPr>
            <w:hyperlink w:anchor="Item_1A_Risk_Factors">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632" w:type="dxa"/>
            <w:tcBorders/>
            <w:vAlign w:val="center"/>
          </w:tcPr>
          <w:p>
            <w:pPr>
              <w:pStyle w:val="TableContents"/>
              <w:pBdr/>
              <w:bidi w:val="0"/>
              <w:spacing w:lineRule="auto" w:line="285"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hyperlink w:anchor="Item3Defaults_357860">
              <w:r>
                <w:rPr>
                  <w:rStyle w:val="InternetLink"/>
                  <w:rFonts w:ascii="Times New Roman;Times;serif" w:hAnsi="Times New Roman;Times;serif"/>
                  <w:b w:val="false"/>
                  <w:i w:val="false"/>
                  <w:caps w:val="false"/>
                  <w:smallCaps w:val="false"/>
                  <w:sz w:val="20"/>
                </w:rPr>
                <w:t>Item 3.</w:t>
              </w:r>
            </w:hyperlink>
          </w:p>
        </w:tc>
        <w:tc>
          <w:tcPr>
            <w:tcW w:w="8632" w:type="dxa"/>
            <w:tcBorders/>
            <w:vAlign w:val="center"/>
          </w:tcPr>
          <w:p>
            <w:pPr>
              <w:pStyle w:val="TableContents"/>
              <w:pBdr/>
              <w:bidi w:val="0"/>
              <w:spacing w:lineRule="auto" w:line="285" w:before="0" w:after="0"/>
              <w:ind w:left="0" w:right="0" w:hanging="0"/>
              <w:jc w:val="left"/>
              <w:rPr/>
            </w:pPr>
            <w:hyperlink w:anchor="Item3Defaults_357860">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hyperlink w:anchor="Item4_Mine_Safety">
              <w:r>
                <w:rPr>
                  <w:rStyle w:val="InternetLink"/>
                  <w:rFonts w:ascii="Times New Roman;Times;serif" w:hAnsi="Times New Roman;Times;serif"/>
                  <w:b w:val="false"/>
                  <w:i w:val="false"/>
                  <w:caps w:val="false"/>
                  <w:smallCaps w:val="false"/>
                  <w:sz w:val="20"/>
                </w:rPr>
                <w:t>Item 4.</w:t>
              </w:r>
            </w:hyperlink>
          </w:p>
        </w:tc>
        <w:tc>
          <w:tcPr>
            <w:tcW w:w="8632" w:type="dxa"/>
            <w:tcBorders/>
            <w:vAlign w:val="center"/>
          </w:tcPr>
          <w:p>
            <w:pPr>
              <w:pStyle w:val="TableContents"/>
              <w:pBdr/>
              <w:bidi w:val="0"/>
              <w:spacing w:lineRule="auto" w:line="285" w:before="0" w:after="0"/>
              <w:ind w:left="0" w:right="0" w:hanging="0"/>
              <w:jc w:val="left"/>
              <w:rPr/>
            </w:pPr>
            <w:hyperlink w:anchor="Item4_Mine_Safety">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pBdr/>
              <w:bidi w:val="0"/>
              <w:spacing w:lineRule="auto" w:line="285"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8632" w:type="dxa"/>
            <w:tcBorders/>
            <w:vAlign w:val="center"/>
          </w:tcPr>
          <w:p>
            <w:pPr>
              <w:pStyle w:val="TableContents"/>
              <w:pBdr/>
              <w:bidi w:val="0"/>
              <w:spacing w:lineRule="auto" w:line="285"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715" w:type="dxa"/>
            <w:tcBorders/>
            <w:vAlign w:val="center"/>
          </w:tcPr>
          <w:p>
            <w:pPr>
              <w:pStyle w:val="TableContents"/>
              <w:bidi w:val="0"/>
              <w:spacing w:lineRule="auto" w:line="285" w:before="0" w:after="0"/>
              <w:ind w:left="0" w:right="0" w:hanging="0"/>
              <w:jc w:val="left"/>
              <w:rPr/>
            </w:pPr>
            <w:hyperlink w:anchor="ExhibitIndex_515262">
              <w:r>
                <w:rPr>
                  <w:rStyle w:val="InternetLink"/>
                  <w:rFonts w:ascii="Times New Roman;Times;serif" w:hAnsi="Times New Roman;Times;serif"/>
                  <w:b w:val="false"/>
                  <w:i w:val="false"/>
                  <w:caps w:val="false"/>
                  <w:smallCaps w:val="false"/>
                  <w:sz w:val="20"/>
                </w:rPr>
                <w:t>Item 6.</w:t>
              </w:r>
            </w:hyperlink>
          </w:p>
        </w:tc>
        <w:tc>
          <w:tcPr>
            <w:tcW w:w="8632" w:type="dxa"/>
            <w:tcBorders/>
            <w:vAlign w:val="center"/>
          </w:tcPr>
          <w:p>
            <w:pPr>
              <w:pStyle w:val="TableContents"/>
              <w:pBdr/>
              <w:bidi w:val="0"/>
              <w:spacing w:lineRule="auto" w:line="285" w:before="0" w:after="0"/>
              <w:ind w:left="0" w:right="0" w:hanging="0"/>
              <w:jc w:val="left"/>
              <w:rPr/>
            </w:pPr>
            <w:hyperlink w:anchor="ExhibitIndex_515262">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15" w:type="dxa"/>
            <w:tcBorders/>
            <w:vAlign w:val="center"/>
          </w:tcPr>
          <w:p>
            <w:pPr>
              <w:pStyle w:val="TableContents"/>
              <w:pBdr/>
              <w:bidi w:val="0"/>
              <w:spacing w:lineRule="auto" w:line="285" w:before="0" w:after="0"/>
              <w:ind w:left="0" w:right="0" w:hanging="0"/>
              <w:jc w:val="left"/>
              <w:rPr/>
            </w:pPr>
            <w:r>
              <w:rPr/>
              <w:t>​</w:t>
            </w:r>
          </w:p>
        </w:tc>
        <w:tc>
          <w:tcPr>
            <w:tcW w:w="8632" w:type="dxa"/>
            <w:tcBorders/>
            <w:vAlign w:val="center"/>
          </w:tcPr>
          <w:p>
            <w:pPr>
              <w:pStyle w:val="TableContents"/>
              <w:pBdr/>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pPr>
            <w:r>
              <w:rPr/>
              <w:t>​</w:t>
            </w:r>
          </w:p>
        </w:tc>
      </w:tr>
      <w:tr>
        <w:trPr/>
        <w:tc>
          <w:tcPr>
            <w:tcW w:w="9347" w:type="dxa"/>
            <w:gridSpan w:val="2"/>
            <w:tcBorders/>
            <w:vAlign w:val="center"/>
          </w:tcPr>
          <w:p>
            <w:pPr>
              <w:pStyle w:val="TableContents"/>
              <w:bidi w:val="0"/>
              <w:spacing w:lineRule="auto" w:line="285" w:before="0" w:after="0"/>
              <w:ind w:left="0" w:right="0" w:hanging="0"/>
              <w:jc w:val="left"/>
              <w:rPr/>
            </w:pPr>
            <w:hyperlink w:anchor="SIGNATURES_344032">
              <w:r>
                <w:rPr>
                  <w:rStyle w:val="InternetLink"/>
                  <w:rFonts w:ascii="Times New Roman;Times;serif" w:hAnsi="Times New Roman;Times;serif"/>
                  <w:b/>
                  <w:i w:val="false"/>
                  <w:caps w:val="false"/>
                  <w:smallCaps w:val="false"/>
                  <w:sz w:val="22"/>
                </w:rPr>
                <w:t>SIGNATURES</w:t>
              </w:r>
            </w:hyperlink>
            <w:r>
              <w:rPr>
                <w:rFonts w:ascii="Times New Roman;Times;serif" w:hAnsi="Times New Roman;Times;serif"/>
                <w:sz w:val="20"/>
              </w:rPr>
              <w:t xml:space="preserve"> </w:t>
            </w:r>
          </w:p>
        </w:tc>
        <w:tc>
          <w:tcPr>
            <w:tcW w:w="346" w:type="dxa"/>
            <w:tcBorders/>
            <w:vAlign w:val="center"/>
          </w:tcPr>
          <w:p>
            <w:pPr>
              <w:pStyle w:val="TableContents"/>
              <w:bidi w:val="0"/>
              <w:spacing w:lineRule="auto" w:line="285" w:before="0" w:after="0"/>
              <w:ind w:left="0" w:right="0" w:hanging="0"/>
              <w:jc w:val="left"/>
              <w:rPr/>
            </w:pPr>
            <w:r>
              <w:rPr/>
              <w:t>​</w:t>
            </w:r>
          </w:p>
        </w:tc>
        <w:tc>
          <w:tcPr>
            <w:tcW w:w="5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0"/>
        <w:ind w:left="0" w:right="0" w:hanging="0"/>
        <w:jc w:val="center"/>
        <w:rPr>
          <w:rFonts w:ascii="Times New Roman;Times;serif" w:hAnsi="Times New Roman;Times;serif"/>
          <w:b/>
          <w:sz w:val="20"/>
        </w:rPr>
      </w:pPr>
      <w:bookmarkStart w:id="23" w:name="_758efdde_f6d4_4ebf_a898_6c2f7b548e32"/>
      <w:bookmarkEnd w:id="23"/>
      <w:r>
        <w:rPr>
          <w:rFonts w:ascii="Times New Roman;Times;serif" w:hAnsi="Times New Roman;Times;serif"/>
          <w:b/>
          <w:sz w:val="20"/>
        </w:rPr>
        <w:t>SPECIAL NOTE REGARDING FORWARD-LOOKING STATEMENTS AND INDUSTRY DATA</w:t>
      </w:r>
    </w:p>
    <w:p>
      <w:pPr>
        <w:pStyle w:val="TextBody"/>
        <w:pBdr/>
        <w:bidi w:val="0"/>
        <w:spacing w:lineRule="auto" w:line="302" w:before="0" w:after="240"/>
        <w:ind w:left="0" w:right="0" w:firstLine="72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pStyle w:val="TextBody"/>
        <w:bidi w:val="0"/>
        <w:spacing w:lineRule="auto" w:line="302" w:before="0" w:after="240"/>
        <w:ind w:left="0" w:right="0" w:firstLine="720"/>
        <w:jc w:val="left"/>
        <w:rPr>
          <w:rFonts w:ascii="Times New Roman;Times;serif" w:hAnsi="Times New Roman;Times;serif"/>
          <w:sz w:val="20"/>
        </w:rPr>
      </w:pPr>
      <w:r>
        <w:rPr>
          <w:rFonts w:ascii="Times New Roman;Times;serif" w:hAnsi="Times New Roman;Times;serif"/>
          <w:sz w:val="20"/>
        </w:rPr>
        <w:t>The forward-looking statements in this Quarterly Report on Form 10-Q include, among other things, statements about:</w:t>
      </w:r>
    </w:p>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expectations regarding our pursuit of strategic options;</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financing;</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monetize our assets;</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regain and maintain compliance with the Nasdaq listing standards;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our remaining employees, consultants, advisors;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resume research and development activities for our MSC-S platform if we were to execute a strategic transaction or obtain significant additional funding, and our ability to develop and commercialize the Researgency agentic AI research platform;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resume research and development activities, development efforts for KPI-012 and KPI-014 for potential ocular diseases;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additional products, product candidates or technologies with significant commercial potential that are consistent with our commercial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goals with respect to the AI platform business and the deployment of the Researgency agentic AI research platform, including the development of commercial arrangements with customers in the biotechnology and pharmaceutical industries;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resume research and development activities, the rate and degree of market acceptance and clinical utility of our product candidates and our estimates regarding the market opportunity for our product candidates, if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fund our operating expenses, lease and capital expenditure requirements with our cash on hand;</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future revenue, timing of any future revenue, capital requirements and needs for additional financing;</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government laws and regulations;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601" w:type="dxa"/>
        <w:jc w:val="left"/>
        <w:tblInd w:w="0" w:type="dxa"/>
        <w:tblLayout w:type="fixed"/>
        <w:tblCellMar>
          <w:top w:w="28" w:type="dxa"/>
          <w:left w:w="28" w:type="dxa"/>
          <w:bottom w:w="28" w:type="dxa"/>
          <w:right w:w="28" w:type="dxa"/>
        </w:tblCellMar>
      </w:tblPr>
      <w:tblGrid>
        <w:gridCol w:w="124"/>
        <w:gridCol w:w="25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bl>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business relationships;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global economic and geopolitical developments on our business, operations, strategy and goals.</w:t>
            </w:r>
          </w:p>
        </w:tc>
      </w:tr>
    </w:tbl>
    <w:p>
      <w:pPr>
        <w:pStyle w:val="TextBody"/>
        <w:bidi w:val="0"/>
        <w:spacing w:lineRule="auto" w:line="302"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t>
      </w:r>
      <w:r>
        <w:rPr>
          <w:rFonts w:ascii="Times New Roman;Times;serif" w:hAnsi="Times New Roman;Times;serif"/>
          <w:sz w:val="20"/>
          <w:shd w:fill="FFFFFF" w:val="clear"/>
        </w:rPr>
        <w:t>These statements may be found under the section of our Annual Report on Form 10-K for the year ended December 31, 2025 (as filed with the Securities and Exchange Commission (“SEC”) on April 15, 2026) entitled “Risk Factors” as well as in our other public filings</w:t>
      </w:r>
      <w:r>
        <w:rPr>
          <w:rFonts w:ascii="Times New Roman;Times;serif" w:hAnsi="Times New Roman;Times;serif"/>
          <w:sz w:val="20"/>
        </w:rPr>
        <w:t>. Our forward-looking statements do not reflect the potential impact of any future acquisitions, mergers, dispositions, joint ventures or investments we may make.</w:t>
      </w:r>
    </w:p>
    <w:p>
      <w:pPr>
        <w:pStyle w:val="TextBody"/>
        <w:bidi w:val="0"/>
        <w:spacing w:lineRule="auto" w:line="302"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may include statistical and other industry and market data that we obtained from industry publications and research, surveys and studies conducted by us and third parties as well as our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opportunity for the Researgency agentic AI research platform and KPI-012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60"/>
        <w:ind w:left="0" w:right="0" w:hanging="0"/>
        <w:jc w:val="center"/>
        <w:rPr>
          <w:rFonts w:ascii="Times New Roman;Times;serif" w:hAnsi="Times New Roman;Times;serif"/>
          <w:b/>
          <w:sz w:val="20"/>
        </w:rPr>
      </w:pPr>
      <w:bookmarkStart w:id="24" w:name="_eeaecb2e_f4d4_4f85_8f58_712482371bde"/>
      <w:bookmarkStart w:id="25" w:name="PARTIFINANCIALINFORMATION_87139"/>
      <w:bookmarkEnd w:id="24"/>
      <w:bookmarkEnd w:id="25"/>
      <w:r>
        <w:rPr>
          <w:rFonts w:ascii="Times New Roman;Times;serif" w:hAnsi="Times New Roman;Times;serif"/>
          <w:b/>
          <w:sz w:val="20"/>
        </w:rPr>
        <w:t>PART I – FINANCIAL INFORMATION</w:t>
      </w:r>
    </w:p>
    <w:p>
      <w:pPr>
        <w:pStyle w:val="TextBody"/>
        <w:pBdr/>
        <w:bidi w:val="0"/>
        <w:spacing w:lineRule="auto" w:line="285" w:before="0" w:after="60"/>
        <w:ind w:left="0" w:right="0" w:hanging="720"/>
        <w:jc w:val="left"/>
        <w:rPr>
          <w:rFonts w:ascii="Times New Roman;Times;serif" w:hAnsi="Times New Roman;Times;serif"/>
          <w:b/>
          <w:sz w:val="20"/>
        </w:rPr>
      </w:pPr>
      <w:bookmarkStart w:id="26" w:name="Item_1_Financial_Statements"/>
      <w:bookmarkEnd w:id="26"/>
      <w:r>
        <w:rPr>
          <w:rFonts w:ascii="Times New Roman;Times;serif" w:hAnsi="Times New Roman;Times;serif"/>
          <w:b/>
          <w:sz w:val="20"/>
        </w:rPr>
        <w:t>Item 1. Financial Statements.</w:t>
      </w:r>
    </w:p>
    <w:p>
      <w:pPr>
        <w:pStyle w:val="TextBody"/>
        <w:bidi w:val="0"/>
        <w:spacing w:lineRule="auto" w:line="285" w:before="0" w:after="60"/>
        <w:ind w:left="0" w:right="0" w:hanging="0"/>
        <w:jc w:val="center"/>
        <w:rPr>
          <w:rFonts w:ascii="Times New Roman;Times;serif" w:hAnsi="Times New Roman;Times;serif"/>
          <w:b/>
          <w:sz w:val="20"/>
        </w:rPr>
      </w:pPr>
      <w:r>
        <w:rPr>
          <w:rFonts w:ascii="Times New Roman;Times;serif" w:hAnsi="Times New Roman;Times;serif"/>
          <w:b/>
          <w:sz w:val="20"/>
        </w:rPr>
        <w:t xml:space="preserve">KALA BIO, INC. </w:t>
      </w:r>
    </w:p>
    <w:p>
      <w:pPr>
        <w:pStyle w:val="TextBody"/>
        <w:bidi w:val="0"/>
        <w:spacing w:lineRule="auto" w:line="285" w:before="0" w:after="60"/>
        <w:ind w:left="0" w:right="0" w:hanging="0"/>
        <w:jc w:val="center"/>
        <w:rPr>
          <w:rFonts w:ascii="Times New Roman;Times;serif" w:hAnsi="Times New Roman;Times;serif"/>
          <w:b/>
          <w:sz w:val="20"/>
        </w:rPr>
      </w:pPr>
      <w:bookmarkStart w:id="27" w:name="BALANCESHEETS_18149"/>
      <w:bookmarkEnd w:id="27"/>
      <w:r>
        <w:rPr>
          <w:rFonts w:ascii="Times New Roman;Times;serif" w:hAnsi="Times New Roman;Times;serif"/>
          <w:b/>
          <w:sz w:val="20"/>
        </w:rPr>
        <w:t>CONDENSED CONSOLIDATED BALANCE SHEETS</w:t>
      </w:r>
    </w:p>
    <w:p>
      <w:pPr>
        <w:pStyle w:val="TextBody"/>
        <w:bidi w:val="0"/>
        <w:spacing w:lineRule="auto" w:line="285" w:before="0" w:after="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85" w:before="0" w:after="6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28" w:name="Tc_n6rCgyiJoE6RWSxB_wi2cA_27_0"/>
      <w:bookmarkStart w:id="29" w:name="Tc_fxyuMAMOwkOCmq5cp7ILxA_23_5"/>
      <w:bookmarkStart w:id="30" w:name="Tc_HGChsjbVrkO-29LIzlMOLQ_23_2"/>
      <w:bookmarkStart w:id="31" w:name="Tc_6WHV1YBIHEC5E6M90NI8IQ_23_0"/>
      <w:bookmarkStart w:id="32" w:name="Tc_2BM3usYB3UeXuHxLIuWM_g_22_0"/>
      <w:bookmarkStart w:id="33" w:name="Tc_ktlWiWWqf06MfeBL6MfFew_21_0"/>
      <w:bookmarkStart w:id="34" w:name="Tc_r6zlk_1uPESmx9iJW5N1nA_20_0"/>
      <w:bookmarkStart w:id="35" w:name="Tc_kkMOGmbmkkW26VJGsgnZdw_19_0"/>
      <w:bookmarkStart w:id="36" w:name="Tc_9LifX4-yP0eBpox_dQcMpA_18_0"/>
      <w:bookmarkStart w:id="37" w:name="Tc_hCEFkmP3gkifnLX3bUsXrg_17_0"/>
      <w:bookmarkStart w:id="38" w:name="Tc_ZgNeh5KsAUCyTNgwce9OZw_16_0"/>
      <w:bookmarkStart w:id="39" w:name="Tc_8ly7H44rV0u-n_kKNcCmbQ_15_0"/>
      <w:bookmarkStart w:id="40" w:name="Tc_-sppmde6jEqmM28mcIYSQA_14_0"/>
      <w:bookmarkStart w:id="41" w:name="Tc_VLW2sxhufEu-_fxNIh6jpA_13_0"/>
      <w:bookmarkStart w:id="42" w:name="Tc_5eB--QrHJkSTUGcwb3oeXA_12_5"/>
      <w:bookmarkStart w:id="43" w:name="Tc_RxmOFWUl7ken8qtS6wnLOA_12_2"/>
      <w:bookmarkStart w:id="44" w:name="Tc_vvZtF2JPGkSOXnmkDn-O3g_12_0"/>
      <w:bookmarkStart w:id="45" w:name="Tc_v4Jy70mzHEqou51M5W4M1A_11_0"/>
      <w:bookmarkStart w:id="46" w:name="Tc_rWmF8nOWNUOKh9Sbf9EI3w_10_0"/>
      <w:bookmarkStart w:id="47" w:name="Tc_FH73_S36s0WNxyrff0OjEQ_9_5"/>
      <w:bookmarkStart w:id="48" w:name="Tc_6egkeKY30EyamPCtbfuoww_9_2"/>
      <w:bookmarkStart w:id="49" w:name="Tc_ufoXL-n5Ekq1k4Q7Z10wJw_9_0"/>
      <w:bookmarkStart w:id="50" w:name="Tc_Vz2QMMvoWU2_4NL0e-K-BQ_8_0"/>
      <w:bookmarkStart w:id="51" w:name="Tc_LEL2cRyLmEKbcfeut2g4EA_7_0"/>
      <w:bookmarkStart w:id="52" w:name="Tc_OPjOSQmI-kq9p-JOlacV6g_6_6"/>
      <w:bookmarkStart w:id="53" w:name="Tc_8Vc2X8pXXECTIG3LBF4yGQ_6_0"/>
      <w:bookmarkStart w:id="54" w:name="Tc_IPKwfetTHU-QwtHsDB0CCA_5_5"/>
      <w:bookmarkStart w:id="55" w:name="Tc_fBS_N4xh5kuIjlM1eguaXQ_5_2"/>
      <w:bookmarkStart w:id="56" w:name="Tc_6RRTSTwBeU6Q_VAy9XcguA_5_0"/>
      <w:bookmarkStart w:id="57" w:name="Tc_l_68C-Aor0SiLokmXIqWdA_4_0"/>
      <w:bookmarkStart w:id="58" w:name="Tc_tv0phc6RrkCLwoSZ2-YMng_3_0"/>
      <w:bookmarkStart w:id="59" w:name="Tc_kQsllV1Y70iW192o4iWaaw_2_5"/>
      <w:bookmarkStart w:id="60" w:name="Tc_SnYNwXeMBkCAQhb4Bhy2GQ_2_2"/>
      <w:bookmarkStart w:id="61" w:name="Tc_NBi9ejXTuUqlpGmkvPz0ng_1_5"/>
      <w:bookmarkStart w:id="62" w:name="Tc_rEstYM1d7kCMYUC7VQSi9w_1_2"/>
      <w:bookmarkStart w:id="63" w:name="_9bf6eaf5_2db4_4e3b_8789_3c7a063e9224"/>
      <w:bookmarkStart w:id="64" w:name="Tc_n6rCgyiJoE6RWSxB_wi2cA_27_0"/>
      <w:bookmarkStart w:id="65" w:name="Tc_fxyuMAMOwkOCmq5cp7ILxA_23_5"/>
      <w:bookmarkStart w:id="66" w:name="Tc_HGChsjbVrkO-29LIzlMOLQ_23_2"/>
      <w:bookmarkStart w:id="67" w:name="Tc_6WHV1YBIHEC5E6M90NI8IQ_23_0"/>
      <w:bookmarkStart w:id="68" w:name="Tc_2BM3usYB3UeXuHxLIuWM_g_22_0"/>
      <w:bookmarkStart w:id="69" w:name="Tc_ktlWiWWqf06MfeBL6MfFew_21_0"/>
      <w:bookmarkStart w:id="70" w:name="Tc_r6zlk_1uPESmx9iJW5N1nA_20_0"/>
      <w:bookmarkStart w:id="71" w:name="Tc_kkMOGmbmkkW26VJGsgnZdw_19_0"/>
      <w:bookmarkStart w:id="72" w:name="Tc_9LifX4-yP0eBpox_dQcMpA_18_0"/>
      <w:bookmarkStart w:id="73" w:name="Tc_hCEFkmP3gkifnLX3bUsXrg_17_0"/>
      <w:bookmarkStart w:id="74" w:name="Tc_ZgNeh5KsAUCyTNgwce9OZw_16_0"/>
      <w:bookmarkStart w:id="75" w:name="Tc_8ly7H44rV0u-n_kKNcCmbQ_15_0"/>
      <w:bookmarkStart w:id="76" w:name="Tc_-sppmde6jEqmM28mcIYSQA_14_0"/>
      <w:bookmarkStart w:id="77" w:name="Tc_VLW2sxhufEu-_fxNIh6jpA_13_0"/>
      <w:bookmarkStart w:id="78" w:name="Tc_5eB--QrHJkSTUGcwb3oeXA_12_5"/>
      <w:bookmarkStart w:id="79" w:name="Tc_RxmOFWUl7ken8qtS6wnLOA_12_2"/>
      <w:bookmarkStart w:id="80" w:name="Tc_vvZtF2JPGkSOXnmkDn-O3g_12_0"/>
      <w:bookmarkStart w:id="81" w:name="Tc_v4Jy70mzHEqou51M5W4M1A_11_0"/>
      <w:bookmarkStart w:id="82" w:name="Tc_rWmF8nOWNUOKh9Sbf9EI3w_10_0"/>
      <w:bookmarkStart w:id="83" w:name="Tc_FH73_S36s0WNxyrff0OjEQ_9_5"/>
      <w:bookmarkStart w:id="84" w:name="Tc_6egkeKY30EyamPCtbfuoww_9_2"/>
      <w:bookmarkStart w:id="85" w:name="Tc_ufoXL-n5Ekq1k4Q7Z10wJw_9_0"/>
      <w:bookmarkStart w:id="86" w:name="Tc_Vz2QMMvoWU2_4NL0e-K-BQ_8_0"/>
      <w:bookmarkStart w:id="87" w:name="Tc_LEL2cRyLmEKbcfeut2g4EA_7_0"/>
      <w:bookmarkStart w:id="88" w:name="Tc_OPjOSQmI-kq9p-JOlacV6g_6_6"/>
      <w:bookmarkStart w:id="89" w:name="Tc_8Vc2X8pXXECTIG3LBF4yGQ_6_0"/>
      <w:bookmarkStart w:id="90" w:name="Tc_IPKwfetTHU-QwtHsDB0CCA_5_5"/>
      <w:bookmarkStart w:id="91" w:name="Tc_fBS_N4xh5kuIjlM1eguaXQ_5_2"/>
      <w:bookmarkStart w:id="92" w:name="Tc_6RRTSTwBeU6Q_VAy9XcguA_5_0"/>
      <w:bookmarkStart w:id="93" w:name="Tc_l_68C-Aor0SiLokmXIqWdA_4_0"/>
      <w:bookmarkStart w:id="94" w:name="Tc_tv0phc6RrkCLwoSZ2-YMng_3_0"/>
      <w:bookmarkStart w:id="95" w:name="Tc_kQsllV1Y70iW192o4iWaaw_2_5"/>
      <w:bookmarkStart w:id="96" w:name="Tc_SnYNwXeMBkCAQhb4Bhy2GQ_2_2"/>
      <w:bookmarkStart w:id="97" w:name="Tc_NBi9ejXTuUqlpGmkvPz0ng_1_5"/>
      <w:bookmarkStart w:id="98" w:name="Tc_rEstYM1d7kCMYUC7VQSi9w_1_2"/>
      <w:bookmarkStart w:id="99" w:name="_9bf6eaf5_2db4_4e3b_8789_3c7a063e9224"/>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tbl>
      <w:tblPr>
        <w:tblW w:w="10205" w:type="dxa"/>
        <w:jc w:val="left"/>
        <w:tblInd w:w="0" w:type="dxa"/>
        <w:tblLayout w:type="fixed"/>
        <w:tblCellMar>
          <w:top w:w="0" w:type="dxa"/>
          <w:left w:w="0" w:type="dxa"/>
          <w:bottom w:w="0" w:type="dxa"/>
          <w:right w:w="0" w:type="dxa"/>
        </w:tblCellMar>
      </w:tblPr>
      <w:tblGrid>
        <w:gridCol w:w="7454"/>
        <w:gridCol w:w="346"/>
        <w:gridCol w:w="196"/>
        <w:gridCol w:w="757"/>
        <w:gridCol w:w="346"/>
        <w:gridCol w:w="217"/>
        <w:gridCol w:w="889"/>
      </w:tblGrid>
      <w:tr>
        <w:trPr/>
        <w:tc>
          <w:tcPr>
            <w:tcW w:w="7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733290" cy="175260"/>
                      <wp:effectExtent l="0" t="0" r="0" b="0"/>
                      <wp:wrapNone/>
                      <wp:docPr id="3" name="Frame3"/>
                      <a:graphic xmlns:a="http://schemas.openxmlformats.org/drawingml/2006/main">
                        <a:graphicData uri="http://schemas.microsoft.com/office/word/2010/wordprocessingShape">
                          <wps:wsp>
                            <wps:cNvSpPr txBox="1"/>
                            <wps:spPr>
                              <a:xfrm>
                                <a:off x="0" y="0"/>
                                <a:ext cx="4733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80695" cy="175260"/>
                      <wp:effectExtent l="0" t="0" r="0" b="0"/>
                      <wp:wrapNone/>
                      <wp:docPr id="6" name="Frame6"/>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7795" cy="175260"/>
                      <wp:effectExtent l="0" t="0" r="0" b="0"/>
                      <wp:wrapNone/>
                      <wp:docPr id="8" name="Frame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64515" cy="175260"/>
                      <wp:effectExtent l="0" t="0" r="0" b="0"/>
                      <wp:wrapNone/>
                      <wp:docPr id="9" name="Frame9"/>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45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53"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center"/>
              <w:rPr/>
            </w:pPr>
            <w:r>
              <w:rPr/>
              <w:t>​</w:t>
            </w:r>
          </w:p>
        </w:tc>
        <w:tc>
          <w:tcPr>
            <w:tcW w:w="110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5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953"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10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5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left"/>
              <w:rPr/>
            </w:pPr>
            <w:r>
              <w:rPr/>
              <w:t>​</w:t>
            </w:r>
          </w:p>
        </w:tc>
        <w:tc>
          <w:tcPr>
            <w:tcW w:w="889" w:type="dxa"/>
            <w:tcBorders/>
            <w:shd w:fill="CCEEFF" w:val="clear"/>
            <w:vAlign w:val="center"/>
          </w:tcPr>
          <w:p>
            <w:pPr>
              <w:pStyle w:val="TableContents"/>
              <w:bidi w:val="0"/>
              <w:spacing w:lineRule="auto" w:line="285" w:before="0" w:after="0"/>
              <w:ind w:left="0" w:right="0" w:hanging="0"/>
              <w:jc w:val="left"/>
              <w:rPr/>
            </w:pPr>
            <w:r>
              <w:rPr/>
              <w:t>​</w:t>
            </w:r>
          </w:p>
        </w:tc>
      </w:tr>
      <w:tr>
        <w:trPr/>
        <w:tc>
          <w:tcPr>
            <w:tcW w:w="745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0"/>
              <w:ind w:left="0" w:right="0" w:hanging="0"/>
              <w:jc w:val="left"/>
              <w:rPr/>
            </w:pPr>
            <w:r>
              <w:rPr/>
              <w:t>​</w:t>
            </w:r>
          </w:p>
        </w:tc>
      </w:tr>
      <w:tr>
        <w:trPr/>
        <w:tc>
          <w:tcPr>
            <w:tcW w:w="745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7,557</w:t>
            </w:r>
          </w:p>
        </w:tc>
      </w:tr>
      <w:tr>
        <w:trPr/>
        <w:tc>
          <w:tcPr>
            <w:tcW w:w="745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7,000</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1"/>
              <w:ind w:left="0" w:right="0" w:hanging="0"/>
              <w:jc w:val="right"/>
              <w:rPr/>
            </w:pPr>
            <w:r>
              <w:rPr/>
              <w:t>—</w:t>
            </w:r>
          </w:p>
        </w:tc>
      </w:tr>
      <w:tr>
        <w:trPr/>
        <w:tc>
          <w:tcPr>
            <w:tcW w:w="745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3,353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1,933</w:t>
            </w:r>
          </w:p>
        </w:tc>
      </w:tr>
      <w:tr>
        <w:trPr/>
        <w:tc>
          <w:tcPr>
            <w:tcW w:w="745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10,582</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9,490</w:t>
            </w:r>
          </w:p>
        </w:tc>
      </w:tr>
      <w:tr>
        <w:trPr/>
        <w:tc>
          <w:tcPr>
            <w:tcW w:w="745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10,582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9,490</w:t>
            </w:r>
          </w:p>
        </w:tc>
      </w:tr>
      <w:tr>
        <w:trPr/>
        <w:tc>
          <w:tcPr>
            <w:tcW w:w="7454" w:type="dxa"/>
            <w:tcBorders/>
            <w:vAlign w:val="center"/>
          </w:tcPr>
          <w:p>
            <w:pPr>
              <w:pStyle w:val="TableContents"/>
              <w:bidi w:val="0"/>
              <w:spacing w:lineRule="auto" w:line="285"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0"/>
              <w:ind w:left="0" w:right="0" w:hanging="0"/>
              <w:jc w:val="right"/>
              <w:rPr/>
            </w:pPr>
            <w:r>
              <w:rPr/>
              <w:t>​</w:t>
            </w:r>
          </w:p>
        </w:tc>
      </w:tr>
      <w:tr>
        <w:trPr/>
        <w:tc>
          <w:tcPr>
            <w:tcW w:w="745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left"/>
              <w:rPr/>
            </w:pPr>
            <w:r>
              <w:rPr/>
              <w:t>​</w:t>
            </w:r>
          </w:p>
        </w:tc>
        <w:tc>
          <w:tcPr>
            <w:tcW w:w="889" w:type="dxa"/>
            <w:tcBorders/>
            <w:shd w:fill="CCEEFF" w:val="clear"/>
            <w:vAlign w:val="center"/>
          </w:tcPr>
          <w:p>
            <w:pPr>
              <w:pStyle w:val="TableContents"/>
              <w:bidi w:val="0"/>
              <w:spacing w:lineRule="auto" w:line="285" w:before="0" w:after="0"/>
              <w:ind w:left="0" w:right="0" w:hanging="0"/>
              <w:jc w:val="right"/>
              <w:rPr/>
            </w:pPr>
            <w:r>
              <w:rPr/>
              <w:t>​</w:t>
            </w:r>
          </w:p>
        </w:tc>
      </w:tr>
      <w:tr>
        <w:trPr/>
        <w:tc>
          <w:tcPr>
            <w:tcW w:w="745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1,142</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986</w:t>
            </w:r>
          </w:p>
        </w:tc>
      </w:tr>
      <w:tr>
        <w:trPr/>
        <w:tc>
          <w:tcPr>
            <w:tcW w:w="745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396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1,508</w:t>
            </w:r>
          </w:p>
        </w:tc>
      </w:tr>
      <w:tr>
        <w:trPr/>
        <w:tc>
          <w:tcPr>
            <w:tcW w:w="745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1,538</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2,494</w:t>
            </w:r>
          </w:p>
        </w:tc>
      </w:tr>
      <w:tr>
        <w:trPr/>
        <w:tc>
          <w:tcPr>
            <w:tcW w:w="745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1,538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2,494</w:t>
            </w:r>
          </w:p>
        </w:tc>
      </w:tr>
      <w:tr>
        <w:trPr/>
        <w:tc>
          <w:tcPr>
            <w:tcW w:w="745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0"/>
              <w:ind w:left="0" w:right="0" w:hanging="0"/>
              <w:jc w:val="right"/>
              <w:rPr/>
            </w:pPr>
            <w:r>
              <w:rPr/>
              <w:t>​</w:t>
            </w:r>
          </w:p>
        </w:tc>
      </w:tr>
      <w:tr>
        <w:trPr/>
        <w:tc>
          <w:tcPr>
            <w:tcW w:w="745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left"/>
              <w:rPr/>
            </w:pPr>
            <w:r>
              <w:rPr/>
              <w:t>​</w:t>
            </w:r>
          </w:p>
        </w:tc>
        <w:tc>
          <w:tcPr>
            <w:tcW w:w="889" w:type="dxa"/>
            <w:tcBorders/>
            <w:shd w:fill="CCEEFF" w:val="clear"/>
            <w:vAlign w:val="center"/>
          </w:tcPr>
          <w:p>
            <w:pPr>
              <w:pStyle w:val="TableContents"/>
              <w:bidi w:val="0"/>
              <w:spacing w:lineRule="auto" w:line="285" w:before="0" w:after="0"/>
              <w:ind w:left="0" w:right="0" w:hanging="0"/>
              <w:jc w:val="right"/>
              <w:rPr/>
            </w:pPr>
            <w:r>
              <w:rPr/>
              <w:t>​</w:t>
            </w:r>
          </w:p>
        </w:tc>
      </w:tr>
      <w:tr>
        <w:trPr/>
        <w:tc>
          <w:tcPr>
            <w:tcW w:w="7454"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18"/>
              </w:rPr>
              <w:t>Preferred stock, $0.001</w:t>
            </w:r>
            <w:r>
              <w:rPr>
                <w:rFonts w:ascii="Times New Roman;Times;serif" w:hAnsi="Times New Roman;Times;serif"/>
                <w:sz w:val="20"/>
              </w:rPr>
              <w:t xml:space="preserve"> </w:t>
            </w:r>
            <w:r>
              <w:rPr>
                <w:rFonts w:ascii="Times New Roman;Times;serif" w:hAnsi="Times New Roman;Times;serif"/>
                <w:sz w:val="18"/>
              </w:rPr>
              <w:t>par value; 5,000,000</w:t>
            </w:r>
            <w:r>
              <w:rPr>
                <w:rFonts w:ascii="Times New Roman;Times;serif" w:hAnsi="Times New Roman;Times;serif"/>
                <w:sz w:val="20"/>
              </w:rPr>
              <w:t xml:space="preserve"> </w:t>
            </w:r>
            <w:r>
              <w:rPr>
                <w:rFonts w:ascii="Times New Roman;Times;serif" w:hAnsi="Times New Roman;Times;serif"/>
                <w:sz w:val="18"/>
              </w:rPr>
              <w:t>shares authorized as of June 30, 2026; 0</w:t>
            </w:r>
            <w:r>
              <w:rPr>
                <w:rFonts w:ascii="Times New Roman;Times;serif" w:hAnsi="Times New Roman;Times;serif"/>
                <w:sz w:val="20"/>
              </w:rPr>
              <w:t xml:space="preserve"> </w:t>
            </w:r>
            <w:r>
              <w:rPr>
                <w:rFonts w:ascii="Times New Roman;Times;serif" w:hAnsi="Times New Roman;Times;serif"/>
                <w:sz w:val="18"/>
              </w:rPr>
              <w:t>and 9,278</w:t>
            </w:r>
            <w:r>
              <w:rPr>
                <w:rFonts w:ascii="Times New Roman;Times;serif" w:hAnsi="Times New Roman;Times;serif"/>
                <w:sz w:val="20"/>
              </w:rPr>
              <w:t xml:space="preserve"> </w:t>
            </w:r>
            <w:r>
              <w:rPr>
                <w:rFonts w:ascii="Times New Roman;Times;serif" w:hAnsi="Times New Roman;Times;serif"/>
                <w:sz w:val="18"/>
              </w:rPr>
              <w:t xml:space="preserve">shares of Series E Convertible Non-Redeemable Preferred Stock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June 30, 2026 and December 31, 2025, 0</w:t>
            </w:r>
            <w:r>
              <w:rPr>
                <w:rFonts w:ascii="Times New Roman;Times;serif" w:hAnsi="Times New Roman;Times;serif"/>
                <w:sz w:val="20"/>
              </w:rPr>
              <w:t xml:space="preserve"> </w:t>
            </w:r>
            <w:r>
              <w:rPr>
                <w:rFonts w:ascii="Times New Roman;Times;serif" w:hAnsi="Times New Roman;Times;serif"/>
                <w:sz w:val="18"/>
              </w:rPr>
              <w:t>and 2,928</w:t>
            </w:r>
            <w:r>
              <w:rPr>
                <w:rFonts w:ascii="Times New Roman;Times;serif" w:hAnsi="Times New Roman;Times;serif"/>
                <w:sz w:val="20"/>
              </w:rPr>
              <w:t xml:space="preserve"> </w:t>
            </w:r>
            <w:r>
              <w:rPr>
                <w:rFonts w:ascii="Times New Roman;Times;serif" w:hAnsi="Times New Roman;Times;serif"/>
                <w:sz w:val="18"/>
              </w:rPr>
              <w:t xml:space="preserve">shares of Series F Convertible Non-Redeemable Preferred Stock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June 30, 2026 and December 31, 2025, 0</w:t>
            </w:r>
            <w:r>
              <w:rPr>
                <w:rFonts w:ascii="Times New Roman;Times;serif" w:hAnsi="Times New Roman;Times;serif"/>
                <w:sz w:val="20"/>
              </w:rPr>
              <w:t xml:space="preserve"> </w:t>
            </w:r>
            <w:r>
              <w:rPr>
                <w:rFonts w:ascii="Times New Roman;Times;serif" w:hAnsi="Times New Roman;Times;serif"/>
                <w:sz w:val="18"/>
              </w:rPr>
              <w:t>and 10,901</w:t>
            </w:r>
            <w:r>
              <w:rPr>
                <w:rFonts w:ascii="Times New Roman;Times;serif" w:hAnsi="Times New Roman;Times;serif"/>
                <w:sz w:val="20"/>
              </w:rPr>
              <w:t xml:space="preserve"> </w:t>
            </w:r>
            <w:r>
              <w:rPr>
                <w:rFonts w:ascii="Times New Roman;Times;serif" w:hAnsi="Times New Roman;Times;serif"/>
                <w:sz w:val="18"/>
              </w:rPr>
              <w:t xml:space="preserve">shares of Series G Convertible Non-Redeemable Preferred Stock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June 30, 2026 and December 31, 2025, 0</w:t>
            </w:r>
            <w:r>
              <w:rPr>
                <w:rFonts w:ascii="Times New Roman;Times;serif" w:hAnsi="Times New Roman;Times;serif"/>
                <w:sz w:val="20"/>
              </w:rPr>
              <w:t xml:space="preserve"> </w:t>
            </w:r>
            <w:r>
              <w:rPr>
                <w:rFonts w:ascii="Times New Roman;Times;serif" w:hAnsi="Times New Roman;Times;serif"/>
                <w:sz w:val="18"/>
              </w:rPr>
              <w:t>and 2,299</w:t>
            </w:r>
            <w:r>
              <w:rPr>
                <w:rFonts w:ascii="Times New Roman;Times;serif" w:hAnsi="Times New Roman;Times;serif"/>
                <w:sz w:val="20"/>
              </w:rPr>
              <w:t xml:space="preserve"> </w:t>
            </w:r>
            <w:r>
              <w:rPr>
                <w:rFonts w:ascii="Times New Roman;Times;serif" w:hAnsi="Times New Roman;Times;serif"/>
                <w:sz w:val="18"/>
              </w:rPr>
              <w:t xml:space="preserve">shares of Series H Convertible Non-Redeemable Preferred Stock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June 30, 2026 and December 31, 2025, 0</w:t>
            </w:r>
            <w:r>
              <w:rPr>
                <w:rFonts w:ascii="Times New Roman;Times;serif" w:hAnsi="Times New Roman;Times;serif"/>
                <w:sz w:val="20"/>
              </w:rPr>
              <w:t xml:space="preserve"> </w:t>
            </w:r>
            <w:r>
              <w:rPr>
                <w:rFonts w:ascii="Times New Roman;Times;serif" w:hAnsi="Times New Roman;Times;serif"/>
                <w:sz w:val="18"/>
              </w:rPr>
              <w:t>and 900,000</w:t>
            </w:r>
            <w:r>
              <w:rPr>
                <w:rFonts w:ascii="Times New Roman;Times;serif" w:hAnsi="Times New Roman;Times;serif"/>
                <w:sz w:val="20"/>
              </w:rPr>
              <w:t xml:space="preserve"> </w:t>
            </w:r>
            <w:r>
              <w:rPr>
                <w:rFonts w:ascii="Times New Roman;Times;serif" w:hAnsi="Times New Roman;Times;serif"/>
                <w:sz w:val="18"/>
              </w:rPr>
              <w:t xml:space="preserve">shares of Series AA Convertible Non-Redeemable Preferred Stock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June 30, 2026 and December 31, 2025, respectively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745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18"/>
              </w:rPr>
              <w:t>Common stock, $0.001</w:t>
            </w:r>
            <w:r>
              <w:rPr>
                <w:rFonts w:ascii="Times New Roman;Times;serif" w:hAnsi="Times New Roman;Times;serif"/>
                <w:sz w:val="20"/>
              </w:rPr>
              <w:t xml:space="preserve"> </w:t>
            </w:r>
            <w:r>
              <w:rPr>
                <w:rFonts w:ascii="Times New Roman;Times;serif" w:hAnsi="Times New Roman;Times;serif"/>
                <w:sz w:val="18"/>
              </w:rPr>
              <w:t>par value; 1,500,000,000</w:t>
            </w:r>
            <w:r>
              <w:rPr>
                <w:rFonts w:ascii="Times New Roman;Times;serif" w:hAnsi="Times New Roman;Times;serif"/>
                <w:sz w:val="20"/>
              </w:rPr>
              <w:t xml:space="preserve"> </w:t>
            </w:r>
            <w:r>
              <w:rPr>
                <w:rFonts w:ascii="Times New Roman;Times;serif" w:hAnsi="Times New Roman;Times;serif"/>
                <w:sz w:val="18"/>
              </w:rPr>
              <w:t>and 120,000,000</w:t>
            </w:r>
            <w:r>
              <w:rPr>
                <w:rFonts w:ascii="Times New Roman;Times;serif" w:hAnsi="Times New Roman;Times;serif"/>
                <w:sz w:val="20"/>
              </w:rPr>
              <w:t xml:space="preserve"> </w:t>
            </w:r>
            <w:r>
              <w:rPr>
                <w:rFonts w:ascii="Times New Roman;Times;serif" w:hAnsi="Times New Roman;Times;serif"/>
                <w:sz w:val="18"/>
              </w:rPr>
              <w:t>shares authorized as of June 30, 2026 and December 31, 2025; 19,339,786</w:t>
            </w:r>
            <w:r>
              <w:rPr>
                <w:rFonts w:ascii="Times New Roman;Times;serif" w:hAnsi="Times New Roman;Times;serif"/>
                <w:sz w:val="20"/>
              </w:rPr>
              <w:t xml:space="preserve"> </w:t>
            </w:r>
            <w:r>
              <w:rPr>
                <w:rFonts w:ascii="Times New Roman;Times;serif" w:hAnsi="Times New Roman;Times;serif"/>
                <w:sz w:val="18"/>
              </w:rPr>
              <w:t>and 556,995</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June 30, 2026 and December 31, 2025, respectively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left"/>
              <w:rPr/>
            </w:pPr>
            <w:r>
              <w:rPr/>
              <w:t>​</w:t>
            </w:r>
          </w:p>
        </w:tc>
        <w:tc>
          <w:tcPr>
            <w:tcW w:w="8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745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707,126</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701,894</w:t>
            </w:r>
          </w:p>
        </w:tc>
      </w:tr>
      <w:tr>
        <w:trPr/>
        <w:tc>
          <w:tcPr>
            <w:tcW w:w="745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Accumulated deficit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(698,102)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(694,900)</w:t>
            </w:r>
          </w:p>
        </w:tc>
      </w:tr>
      <w:tr>
        <w:trPr/>
        <w:tc>
          <w:tcPr>
            <w:tcW w:w="7454" w:type="dxa"/>
            <w:tcBorders/>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9,044</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6,996</w:t>
            </w:r>
          </w:p>
        </w:tc>
      </w:tr>
      <w:tr>
        <w:trPr/>
        <w:tc>
          <w:tcPr>
            <w:tcW w:w="745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 xml:space="preserve">Total liabilities and stockholders' equity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10,582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8"/>
              </w:rPr>
            </w:pPr>
            <w:r>
              <w:rPr>
                <w:rFonts w:ascii="Times New Roman;Times;serif" w:hAnsi="Times New Roman;Times;serif"/>
                <w:sz w:val="18"/>
              </w:rPr>
              <w:t>9,490</w:t>
            </w:r>
          </w:p>
        </w:tc>
      </w:tr>
      <w:tr>
        <w:trPr/>
        <w:tc>
          <w:tcPr>
            <w:tcW w:w="745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0"/>
              <w:ind w:left="0" w:right="0" w:hanging="0"/>
              <w:jc w:val="right"/>
              <w:rPr/>
            </w:pPr>
            <w:r>
              <w:rPr/>
              <w:t>​</w:t>
            </w:r>
          </w:p>
        </w:tc>
      </w:tr>
      <w:tr>
        <w:trPr/>
        <w:tc>
          <w:tcPr>
            <w:tcW w:w="745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0"/>
              <w:ind w:left="0" w:right="0" w:hanging="0"/>
              <w:jc w:val="right"/>
              <w:rPr/>
            </w:pPr>
            <w:r>
              <w:rPr/>
              <w:t>​</w:t>
            </w:r>
          </w:p>
        </w:tc>
      </w:tr>
      <w:tr>
        <w:trPr/>
        <w:tc>
          <w:tcPr>
            <w:tcW w:w="745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889" w:type="dxa"/>
            <w:tcBorders/>
            <w:vAlign w:val="center"/>
          </w:tcPr>
          <w:p>
            <w:pPr>
              <w:pStyle w:val="TableContents"/>
              <w:bidi w:val="0"/>
              <w:spacing w:lineRule="auto" w:line="285" w:before="0" w:after="0"/>
              <w:ind w:left="0" w:right="0" w:hanging="0"/>
              <w:jc w:val="right"/>
              <w:rPr/>
            </w:pPr>
            <w:r>
              <w:rPr/>
              <w:t>​</w:t>
            </w:r>
          </w:p>
        </w:tc>
      </w:tr>
      <w:tr>
        <w:trPr/>
        <w:tc>
          <w:tcPr>
            <w:tcW w:w="10205" w:type="dxa"/>
            <w:gridSpan w:val="7"/>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18"/>
              </w:rPr>
              <w:t xml:space="preserve">* On May 8, 2026, the Company completed a </w:t>
            </w:r>
            <w:r>
              <w:rPr>
                <w:rFonts w:ascii="Times New Roman;Times;serif" w:hAnsi="Times New Roman;Times;serif"/>
                <w:b w:val="false"/>
                <w:i w:val="false"/>
                <w:caps w:val="false"/>
                <w:smallCaps w:val="false"/>
                <w:sz w:val="18"/>
              </w:rPr>
              <w:t>1</w:t>
            </w:r>
            <w:r>
              <w:rPr>
                <w:rFonts w:ascii="Times New Roman;Times;serif" w:hAnsi="Times New Roman;Times;serif"/>
                <w:sz w:val="18"/>
              </w:rPr>
              <w:t xml:space="preserve">-for-50 reverse stock split of its issued and outstanding common stock (the “Reverse Stock Split”). As a result of the Reverse Stock Split, every fifty </w:t>
            </w:r>
            <w:r>
              <w:rPr>
                <w:rFonts w:ascii="Times New Roman;Times;serif" w:hAnsi="Times New Roman;Times;serif"/>
                <w:b w:val="false"/>
                <w:i w:val="false"/>
                <w:caps w:val="false"/>
                <w:smallCaps w:val="false"/>
                <w:sz w:val="18"/>
              </w:rPr>
              <w:t>(50)</w:t>
            </w:r>
            <w:r>
              <w:rPr>
                <w:rFonts w:ascii="Times New Roman;Times;serif" w:hAnsi="Times New Roman;Times;serif"/>
                <w:sz w:val="20"/>
              </w:rPr>
              <w:t xml:space="preserve"> </w:t>
            </w:r>
            <w:r>
              <w:rPr>
                <w:rFonts w:ascii="Times New Roman;Times;serif" w:hAnsi="Times New Roman;Times;serif"/>
                <w:sz w:val="18"/>
              </w:rPr>
              <w:t>shares of common stock issued and outstanding immediately prior to May 8, 2026 were converted into one share of common stock, without any change in the par value per share. No fractional shares was issued as a result of the Reverse Stock Split. Stockholders that would hold fractional shares as a result of the Reverse Stock Split are entitled to receive a cash payment in lieu of said fractional shares based on the closing price on the Nasdaq Capital Market on May 7, 2026. All references to number of shares, and to per share information in the this condensed consolidated financial statements have been retroactively adjusted.</w:t>
            </w:r>
          </w:p>
        </w:tc>
      </w:tr>
    </w:tbl>
    <w:p>
      <w:pPr>
        <w:pStyle w:val="TextBody"/>
        <w:bidi w:val="0"/>
        <w:spacing w:lineRule="auto" w:line="285" w:before="12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these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120"/>
        <w:ind w:left="0" w:right="0" w:hanging="0"/>
        <w:jc w:val="center"/>
        <w:rPr>
          <w:rFonts w:ascii="Times New Roman;Times;serif" w:hAnsi="Times New Roman;Times;serif"/>
          <w:b/>
          <w:sz w:val="20"/>
        </w:rPr>
      </w:pPr>
      <w:bookmarkStart w:id="100" w:name="_56878104_2495_414a_9b96_a2a7d506a2e0"/>
      <w:bookmarkEnd w:id="100"/>
      <w:r>
        <w:rPr>
          <w:rFonts w:ascii="Times New Roman;Times;serif" w:hAnsi="Times New Roman;Times;serif"/>
          <w:b/>
          <w:sz w:val="20"/>
        </w:rPr>
        <w:t xml:space="preserve">KALA BIO, INC. </w:t>
      </w:r>
    </w:p>
    <w:p>
      <w:pPr>
        <w:pStyle w:val="TextBody"/>
        <w:bidi w:val="0"/>
        <w:spacing w:lineRule="auto" w:line="285" w:before="0" w:after="120"/>
        <w:ind w:left="0" w:right="0" w:hanging="0"/>
        <w:jc w:val="center"/>
        <w:rPr>
          <w:rFonts w:ascii="Times New Roman;Times;serif" w:hAnsi="Times New Roman;Times;serif"/>
          <w:b/>
          <w:sz w:val="20"/>
        </w:rPr>
      </w:pPr>
      <w:bookmarkStart w:id="101" w:name="OPERATIONS_433644"/>
      <w:bookmarkEnd w:id="101"/>
      <w:r>
        <w:rPr>
          <w:rFonts w:ascii="Times New Roman;Times;serif" w:hAnsi="Times New Roman;Times;serif"/>
          <w:b/>
          <w:sz w:val="20"/>
        </w:rPr>
        <w:t>CONDENSED CONSOLIDATED STATEMENTS OF OPERATIONS AND COMPREHENSIVE LOSS</w:t>
      </w:r>
    </w:p>
    <w:p>
      <w:pPr>
        <w:pStyle w:val="TextBody"/>
        <w:bidi w:val="0"/>
        <w:spacing w:lineRule="auto" w:line="285" w:before="0" w:after="12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85" w:before="0" w:after="12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102" w:name="Tc_iPgXyTKy7k6Yr-CSHuBEfQ_24_0"/>
      <w:bookmarkStart w:id="103" w:name="Tc_il2FfFHNdEyXznwZvnI4SQ_19_0"/>
      <w:bookmarkStart w:id="104" w:name="Tc_P3NejQ-UF0iQE8p94Hw0AA_18_11"/>
      <w:bookmarkStart w:id="105" w:name="Tc_IWO050L3dEisf7tXX6caJw_18_8"/>
      <w:bookmarkStart w:id="106" w:name="Tc_XVdGOoeIQEqUlg2igZEuIA_18_5"/>
      <w:bookmarkStart w:id="107" w:name="Tc_-pjAWDxQKUSMdaFgFeYWQA_18_2"/>
      <w:bookmarkStart w:id="108" w:name="Tc_MIhCsnOh2Eq0t_o-UecWMQ_18_0"/>
      <w:bookmarkStart w:id="109" w:name="Tc_rDIiCA-8Vk-zxpyZhFO35Q_17_11"/>
      <w:bookmarkStart w:id="110" w:name="Tc_EYYRMHYD5UOMq3LNwUvoOw_17_8"/>
      <w:bookmarkStart w:id="111" w:name="Tc_LFFH0SIKukmXxvV_d4VyaQ_17_5"/>
      <w:bookmarkStart w:id="112" w:name="Tc_SoNRXik3Xka79xZYyiA7MQ_17_2"/>
      <w:bookmarkStart w:id="113" w:name="Tc_4ZZ8G0qZnU2GgG4UPwyt-w_17_0"/>
      <w:bookmarkStart w:id="114" w:name="Tc_NRXr2Q7dakSJCsDBqym-wg_16_0"/>
      <w:bookmarkStart w:id="115" w:name="Tc_0g0HNF2Jd0WbExP-AEPZeg_15_12"/>
      <w:bookmarkStart w:id="116" w:name="Tc_slsKRBNJQE2ExUR1-UmTNQ_15_6"/>
      <w:bookmarkStart w:id="117" w:name="Tc_ckwjkjrjzUyfa4dKwFubMw_15_3"/>
      <w:bookmarkStart w:id="118" w:name="Tc_m6ttlLrnpEKjSFGKbYYHXg_15_0"/>
      <w:bookmarkStart w:id="119" w:name="Tc_UCX3IghqoUaakfYznEh14w_14_9"/>
      <w:bookmarkStart w:id="120" w:name="Tc_yy2EQ8v0aUiSS-7jHyLarA_14_3"/>
      <w:bookmarkStart w:id="121" w:name="Tc_Ngmi7SJVdUuDRLVLi9qryg_14_0"/>
      <w:bookmarkStart w:id="122" w:name="Tc_CZd2hrAMtkOK4mdud5nVjg_13_9"/>
      <w:bookmarkStart w:id="123" w:name="Tc_xdq8BQRd5k2m5xAiiAYZIQ_13_3"/>
      <w:bookmarkStart w:id="124" w:name="Tc_cwzqy1GgxUiK7dWy743NNA_13_0"/>
      <w:bookmarkStart w:id="125" w:name="Tc_bdqAHpgUGESNG7Dm1Bf8Hw_12_0"/>
      <w:bookmarkStart w:id="126" w:name="Tc_MQI9P33YakqGKPsGX5Gqsw_11_0"/>
      <w:bookmarkStart w:id="127" w:name="Tc_qCsdwZ1A8U-OJqCvRE-bkg_10_0"/>
      <w:bookmarkStart w:id="128" w:name="Tc_0p_nS6O_e06bEabmFqZmDA_9_0"/>
      <w:bookmarkStart w:id="129" w:name="Tc_GguGrhOoAUaE-gKh3121xw_8_9"/>
      <w:bookmarkStart w:id="130" w:name="Tc_LY56J6xVI0WW_hTHzg5IgA_8_3"/>
      <w:bookmarkStart w:id="131" w:name="Tc_z1ppwrWn20GcoTnFE_UiTQ_8_0"/>
      <w:bookmarkStart w:id="132" w:name="Tc_BHzT37rOBUS75IlEeFBtlw_7_0"/>
      <w:bookmarkStart w:id="133" w:name="Tc_MiWwjc6I4U6ZxBk8eU9p7A_6_11"/>
      <w:bookmarkStart w:id="134" w:name="Tc_YPahr_t0q0GJLzWtjP5vzg_6_8"/>
      <w:bookmarkStart w:id="135" w:name="Tc_SM2dVouhf02w1H_TKeiDYg_6_5"/>
      <w:bookmarkStart w:id="136" w:name="Tc_zekiswqlO0KfYF6iFh82sQ_6_2"/>
      <w:bookmarkStart w:id="137" w:name="Tc_oIOQDFv75km7zvDZsx_2qg_6_0"/>
      <w:bookmarkStart w:id="138" w:name="Tc_3pGd8UBKskS1UYCNFvODTw_5_0"/>
      <w:bookmarkStart w:id="139" w:name="Tc_2GozfRZI9ECEdWtEPl_-bA_3_11"/>
      <w:bookmarkStart w:id="140" w:name="Tc_FaCXB3A1iE6goFIjkAxAJA_3_8"/>
      <w:bookmarkStart w:id="141" w:name="Tc_iGuEV41aQkGujVhnZ5_vBQ_3_5"/>
      <w:bookmarkStart w:id="142" w:name="Tc_MQaGgCHiUEuNIZuul_dS2g_3_2"/>
      <w:bookmarkStart w:id="143" w:name="Tc_sro7FEbCKkC5itQIwVn5fQ_2_8"/>
      <w:bookmarkStart w:id="144" w:name="Tc_sBeX3p1nmEi6sWh9OmQfJQ_2_2"/>
      <w:bookmarkStart w:id="145" w:name="Tc_MQnmmfKyFkKkO-NL22EY2A_1_8"/>
      <w:bookmarkStart w:id="146" w:name="Tc_ooHHei1BYUaVCAEHV95T-Q_1_2"/>
      <w:bookmarkStart w:id="147" w:name="_7ecad697_211f_4062_811a_d7e6e8150ba3"/>
      <w:bookmarkStart w:id="148" w:name="_151deaf2_4fd4_47c5_bb9c_d16a31c8ed58"/>
      <w:bookmarkStart w:id="149" w:name="Tc_iPgXyTKy7k6Yr-CSHuBEfQ_24_0"/>
      <w:bookmarkStart w:id="150" w:name="Tc_il2FfFHNdEyXznwZvnI4SQ_19_0"/>
      <w:bookmarkStart w:id="151" w:name="Tc_P3NejQ-UF0iQE8p94Hw0AA_18_11"/>
      <w:bookmarkStart w:id="152" w:name="Tc_IWO050L3dEisf7tXX6caJw_18_8"/>
      <w:bookmarkStart w:id="153" w:name="Tc_XVdGOoeIQEqUlg2igZEuIA_18_5"/>
      <w:bookmarkStart w:id="154" w:name="Tc_-pjAWDxQKUSMdaFgFeYWQA_18_2"/>
      <w:bookmarkStart w:id="155" w:name="Tc_MIhCsnOh2Eq0t_o-UecWMQ_18_0"/>
      <w:bookmarkStart w:id="156" w:name="Tc_rDIiCA-8Vk-zxpyZhFO35Q_17_11"/>
      <w:bookmarkStart w:id="157" w:name="Tc_EYYRMHYD5UOMq3LNwUvoOw_17_8"/>
      <w:bookmarkStart w:id="158" w:name="Tc_LFFH0SIKukmXxvV_d4VyaQ_17_5"/>
      <w:bookmarkStart w:id="159" w:name="Tc_SoNRXik3Xka79xZYyiA7MQ_17_2"/>
      <w:bookmarkStart w:id="160" w:name="Tc_4ZZ8G0qZnU2GgG4UPwyt-w_17_0"/>
      <w:bookmarkStart w:id="161" w:name="Tc_NRXr2Q7dakSJCsDBqym-wg_16_0"/>
      <w:bookmarkStart w:id="162" w:name="Tc_0g0HNF2Jd0WbExP-AEPZeg_15_12"/>
      <w:bookmarkStart w:id="163" w:name="Tc_slsKRBNJQE2ExUR1-UmTNQ_15_6"/>
      <w:bookmarkStart w:id="164" w:name="Tc_ckwjkjrjzUyfa4dKwFubMw_15_3"/>
      <w:bookmarkStart w:id="165" w:name="Tc_m6ttlLrnpEKjSFGKbYYHXg_15_0"/>
      <w:bookmarkStart w:id="166" w:name="Tc_UCX3IghqoUaakfYznEh14w_14_9"/>
      <w:bookmarkStart w:id="167" w:name="Tc_yy2EQ8v0aUiSS-7jHyLarA_14_3"/>
      <w:bookmarkStart w:id="168" w:name="Tc_Ngmi7SJVdUuDRLVLi9qryg_14_0"/>
      <w:bookmarkStart w:id="169" w:name="Tc_CZd2hrAMtkOK4mdud5nVjg_13_9"/>
      <w:bookmarkStart w:id="170" w:name="Tc_xdq8BQRd5k2m5xAiiAYZIQ_13_3"/>
      <w:bookmarkStart w:id="171" w:name="Tc_cwzqy1GgxUiK7dWy743NNA_13_0"/>
      <w:bookmarkStart w:id="172" w:name="Tc_bdqAHpgUGESNG7Dm1Bf8Hw_12_0"/>
      <w:bookmarkStart w:id="173" w:name="Tc_MQI9P33YakqGKPsGX5Gqsw_11_0"/>
      <w:bookmarkStart w:id="174" w:name="Tc_qCsdwZ1A8U-OJqCvRE-bkg_10_0"/>
      <w:bookmarkStart w:id="175" w:name="Tc_0p_nS6O_e06bEabmFqZmDA_9_0"/>
      <w:bookmarkStart w:id="176" w:name="Tc_GguGrhOoAUaE-gKh3121xw_8_9"/>
      <w:bookmarkStart w:id="177" w:name="Tc_LY56J6xVI0WW_hTHzg5IgA_8_3"/>
      <w:bookmarkStart w:id="178" w:name="Tc_z1ppwrWn20GcoTnFE_UiTQ_8_0"/>
      <w:bookmarkStart w:id="179" w:name="Tc_BHzT37rOBUS75IlEeFBtlw_7_0"/>
      <w:bookmarkStart w:id="180" w:name="Tc_MiWwjc6I4U6ZxBk8eU9p7A_6_11"/>
      <w:bookmarkStart w:id="181" w:name="Tc_YPahr_t0q0GJLzWtjP5vzg_6_8"/>
      <w:bookmarkStart w:id="182" w:name="Tc_SM2dVouhf02w1H_TKeiDYg_6_5"/>
      <w:bookmarkStart w:id="183" w:name="Tc_zekiswqlO0KfYF6iFh82sQ_6_2"/>
      <w:bookmarkStart w:id="184" w:name="Tc_oIOQDFv75km7zvDZsx_2qg_6_0"/>
      <w:bookmarkStart w:id="185" w:name="Tc_3pGd8UBKskS1UYCNFvODTw_5_0"/>
      <w:bookmarkStart w:id="186" w:name="Tc_2GozfRZI9ECEdWtEPl_-bA_3_11"/>
      <w:bookmarkStart w:id="187" w:name="Tc_FaCXB3A1iE6goFIjkAxAJA_3_8"/>
      <w:bookmarkStart w:id="188" w:name="Tc_iGuEV41aQkGujVhnZ5_vBQ_3_5"/>
      <w:bookmarkStart w:id="189" w:name="Tc_MQaGgCHiUEuNIZuul_dS2g_3_2"/>
      <w:bookmarkStart w:id="190" w:name="Tc_sro7FEbCKkC5itQIwVn5fQ_2_8"/>
      <w:bookmarkStart w:id="191" w:name="Tc_sBeX3p1nmEi6sWh9OmQfJQ_2_2"/>
      <w:bookmarkStart w:id="192" w:name="Tc_MQnmmfKyFkKkO-NL22EY2A_1_8"/>
      <w:bookmarkStart w:id="193" w:name="Tc_ooHHei1BYUaVCAEHV95T-Q_1_2"/>
      <w:bookmarkStart w:id="194" w:name="_7ecad697_211f_4062_811a_d7e6e8150ba3"/>
      <w:bookmarkStart w:id="195" w:name="_151deaf2_4fd4_47c5_bb9c_d16a31c8ed5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tbl>
      <w:tblPr>
        <w:tblW w:w="10205" w:type="dxa"/>
        <w:jc w:val="left"/>
        <w:tblInd w:w="0" w:type="dxa"/>
        <w:tblLayout w:type="fixed"/>
        <w:tblCellMar>
          <w:top w:w="0" w:type="dxa"/>
          <w:left w:w="0" w:type="dxa"/>
          <w:bottom w:w="0" w:type="dxa"/>
          <w:right w:w="0" w:type="dxa"/>
        </w:tblCellMar>
      </w:tblPr>
      <w:tblGrid>
        <w:gridCol w:w="5013"/>
        <w:gridCol w:w="346"/>
        <w:gridCol w:w="196"/>
        <w:gridCol w:w="627"/>
        <w:gridCol w:w="346"/>
        <w:gridCol w:w="196"/>
        <w:gridCol w:w="717"/>
        <w:gridCol w:w="346"/>
        <w:gridCol w:w="196"/>
        <w:gridCol w:w="916"/>
        <w:gridCol w:w="346"/>
        <w:gridCol w:w="196"/>
        <w:gridCol w:w="764"/>
      </w:tblGrid>
      <w:tr>
        <w:trPr/>
        <w:tc>
          <w:tcPr>
            <w:tcW w:w="5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183255" cy="175260"/>
                      <wp:effectExtent l="0" t="0" r="0" b="0"/>
                      <wp:wrapNone/>
                      <wp:docPr id="10" name="Frame10"/>
                      <a:graphic xmlns:a="http://schemas.openxmlformats.org/drawingml/2006/main">
                        <a:graphicData uri="http://schemas.microsoft.com/office/word/2010/wordprocessingShape">
                          <wps:wsp>
                            <wps:cNvSpPr txBox="1"/>
                            <wps:spPr>
                              <a:xfrm>
                                <a:off x="0" y="0"/>
                                <a:ext cx="3183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98145" cy="175260"/>
                      <wp:effectExtent l="0" t="0" r="0" b="0"/>
                      <wp:wrapNone/>
                      <wp:docPr id="13" name="Frame13"/>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55295" cy="175260"/>
                      <wp:effectExtent l="0" t="0" r="0" b="0"/>
                      <wp:wrapNone/>
                      <wp:docPr id="16" name="Frame16"/>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81660" cy="175260"/>
                      <wp:effectExtent l="0" t="0" r="0" b="0"/>
                      <wp:wrapNone/>
                      <wp:docPr id="19" name="Frame1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85140" cy="175260"/>
                      <wp:effectExtent l="0" t="0" r="0" b="0"/>
                      <wp:wrapNone/>
                      <wp:docPr id="22" name="Frame22"/>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0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2"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center"/>
              <w:rPr/>
            </w:pPr>
            <w:r>
              <w:rPr/>
              <w:t>​</w:t>
            </w:r>
          </w:p>
        </w:tc>
        <w:tc>
          <w:tcPr>
            <w:tcW w:w="241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0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2"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center"/>
              <w:rPr/>
            </w:pPr>
            <w:r>
              <w:rPr/>
              <w:t>​</w:t>
            </w:r>
          </w:p>
        </w:tc>
        <w:tc>
          <w:tcPr>
            <w:tcW w:w="241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0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82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91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9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0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1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418" w:type="dxa"/>
            <w:gridSpan w:val="5"/>
            <w:tcBorders/>
            <w:vAlign w:val="center"/>
          </w:tcPr>
          <w:p>
            <w:pPr>
              <w:pStyle w:val="TableContents"/>
              <w:bidi w:val="0"/>
              <w:spacing w:lineRule="auto" w:line="285" w:before="0" w:after="0"/>
              <w:ind w:left="0" w:right="0" w:hanging="0"/>
              <w:jc w:val="center"/>
              <w:rPr/>
            </w:pPr>
            <w:r>
              <w:rPr/>
              <w:t>​</w:t>
            </w:r>
          </w:p>
        </w:tc>
      </w:tr>
      <w:tr>
        <w:trPr/>
        <w:tc>
          <w:tcPr>
            <w:tcW w:w="50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Costs and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2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1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4" w:type="dxa"/>
            <w:tcBorders/>
            <w:shd w:fill="CCEEFF" w:val="clear"/>
            <w:vAlign w:val="center"/>
          </w:tcPr>
          <w:p>
            <w:pPr>
              <w:pStyle w:val="TableContents"/>
              <w:bidi w:val="0"/>
              <w:spacing w:lineRule="auto" w:line="285" w:before="0" w:after="0"/>
              <w:ind w:left="0" w:right="0" w:hanging="0"/>
              <w:jc w:val="right"/>
              <w:rPr/>
            </w:pPr>
            <w:r>
              <w:rPr/>
              <w:t>​</w:t>
            </w:r>
          </w:p>
        </w:tc>
      </w:tr>
      <w:tr>
        <w:trPr/>
        <w:tc>
          <w:tcPr>
            <w:tcW w:w="501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7"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1,662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4,643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9,236</w:t>
            </w:r>
          </w:p>
        </w:tc>
      </w:tr>
      <w:tr>
        <w:trPr/>
        <w:tc>
          <w:tcPr>
            <w:tcW w:w="50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2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12,287</w:t>
            </w:r>
          </w:p>
        </w:tc>
      </w:tr>
      <w:tr>
        <w:trPr/>
        <w:tc>
          <w:tcPr>
            <w:tcW w:w="501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Loss on fair value remeasurement of contingent consideration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174</w:t>
            </w:r>
          </w:p>
        </w:tc>
      </w:tr>
      <w:tr>
        <w:trPr/>
        <w:tc>
          <w:tcPr>
            <w:tcW w:w="50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costs and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11,028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21,697</w:t>
            </w:r>
          </w:p>
        </w:tc>
      </w:tr>
      <w:tr>
        <w:trPr/>
        <w:tc>
          <w:tcPr>
            <w:tcW w:w="501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7"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(1,721)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17"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(11,028)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(3,523)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(21,697)</w:t>
            </w:r>
          </w:p>
        </w:tc>
      </w:tr>
      <w:tr>
        <w:trPr/>
        <w:tc>
          <w:tcPr>
            <w:tcW w:w="50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2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1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4" w:type="dxa"/>
            <w:tcBorders/>
            <w:shd w:fill="CCEEFF" w:val="clear"/>
            <w:vAlign w:val="center"/>
          </w:tcPr>
          <w:p>
            <w:pPr>
              <w:pStyle w:val="TableContents"/>
              <w:bidi w:val="0"/>
              <w:spacing w:lineRule="auto" w:line="285" w:before="0" w:after="0"/>
              <w:ind w:left="0" w:right="0" w:hanging="0"/>
              <w:jc w:val="right"/>
              <w:rPr/>
            </w:pPr>
            <w:r>
              <w:rPr/>
              <w:t>​</w:t>
            </w:r>
          </w:p>
        </w:tc>
      </w:tr>
      <w:tr>
        <w:trPr/>
        <w:tc>
          <w:tcPr>
            <w:tcW w:w="501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7"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17"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870</w:t>
            </w:r>
          </w:p>
        </w:tc>
      </w:tr>
      <w:tr>
        <w:trPr/>
        <w:tc>
          <w:tcPr>
            <w:tcW w:w="50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2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(2,172)</w:t>
            </w:r>
          </w:p>
        </w:tc>
      </w:tr>
      <w:tr>
        <w:trPr/>
        <w:tc>
          <w:tcPr>
            <w:tcW w:w="501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Grant income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17"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547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2,897</w:t>
            </w:r>
          </w:p>
        </w:tc>
      </w:tr>
      <w:tr>
        <w:trPr/>
        <w:tc>
          <w:tcPr>
            <w:tcW w:w="50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501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other income (expense) </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1,595</w:t>
            </w:r>
          </w:p>
        </w:tc>
      </w:tr>
      <w:tr>
        <w:trPr/>
        <w:tc>
          <w:tcPr>
            <w:tcW w:w="50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 and comprehensive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(20,102)</w:t>
            </w:r>
          </w:p>
        </w:tc>
      </w:tr>
      <w:tr>
        <w:trPr/>
        <w:tc>
          <w:tcPr>
            <w:tcW w:w="501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 per share attributable to common stockholders—basic and diluted *</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(21.32)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(0.21)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(156.32)</w:t>
            </w:r>
          </w:p>
        </w:tc>
      </w:tr>
      <w:tr>
        <w:trPr/>
        <w:tc>
          <w:tcPr>
            <w:tcW w:w="50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outstanding—basic and diluted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74,159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130,262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15,287,538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128,599</w:t>
            </w:r>
          </w:p>
        </w:tc>
      </w:tr>
      <w:tr>
        <w:trPr/>
        <w:tc>
          <w:tcPr>
            <w:tcW w:w="50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1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4" w:type="dxa"/>
            <w:tcBorders/>
            <w:vAlign w:val="center"/>
          </w:tcPr>
          <w:p>
            <w:pPr>
              <w:pStyle w:val="TableContents"/>
              <w:bidi w:val="0"/>
              <w:spacing w:lineRule="auto" w:line="285" w:before="0" w:after="0"/>
              <w:ind w:left="0" w:right="0" w:hanging="0"/>
              <w:jc w:val="right"/>
              <w:rPr/>
            </w:pPr>
            <w:r>
              <w:rPr/>
              <w:t>​</w:t>
            </w:r>
          </w:p>
        </w:tc>
      </w:tr>
      <w:tr>
        <w:trPr/>
        <w:tc>
          <w:tcPr>
            <w:tcW w:w="50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1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4" w:type="dxa"/>
            <w:tcBorders/>
            <w:vAlign w:val="center"/>
          </w:tcPr>
          <w:p>
            <w:pPr>
              <w:pStyle w:val="TableContents"/>
              <w:bidi w:val="0"/>
              <w:spacing w:lineRule="auto" w:line="285" w:before="0" w:after="0"/>
              <w:ind w:left="0" w:right="0" w:hanging="0"/>
              <w:jc w:val="right"/>
              <w:rPr/>
            </w:pPr>
            <w:r>
              <w:rPr/>
              <w:t>​</w:t>
            </w:r>
          </w:p>
        </w:tc>
      </w:tr>
      <w:tr>
        <w:trPr/>
        <w:tc>
          <w:tcPr>
            <w:tcW w:w="50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1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4" w:type="dxa"/>
            <w:tcBorders/>
            <w:vAlign w:val="center"/>
          </w:tcPr>
          <w:p>
            <w:pPr>
              <w:pStyle w:val="TableContents"/>
              <w:bidi w:val="0"/>
              <w:spacing w:lineRule="auto" w:line="285" w:before="0" w:after="0"/>
              <w:ind w:left="0" w:right="0" w:hanging="0"/>
              <w:jc w:val="right"/>
              <w:rPr/>
            </w:pPr>
            <w:r>
              <w:rPr/>
              <w:t>​</w:t>
            </w:r>
          </w:p>
        </w:tc>
      </w:tr>
      <w:tr>
        <w:trPr/>
        <w:tc>
          <w:tcPr>
            <w:tcW w:w="50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1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4" w:type="dxa"/>
            <w:tcBorders/>
            <w:vAlign w:val="center"/>
          </w:tcPr>
          <w:p>
            <w:pPr>
              <w:pStyle w:val="TableContents"/>
              <w:bidi w:val="0"/>
              <w:spacing w:lineRule="auto" w:line="285" w:before="0" w:after="0"/>
              <w:ind w:left="0" w:right="0" w:hanging="0"/>
              <w:jc w:val="right"/>
              <w:rPr/>
            </w:pPr>
            <w:r>
              <w:rPr/>
              <w:t>​</w:t>
            </w:r>
          </w:p>
        </w:tc>
      </w:tr>
      <w:tr>
        <w:trPr/>
        <w:tc>
          <w:tcPr>
            <w:tcW w:w="10205" w:type="dxa"/>
            <w:gridSpan w:val="13"/>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Number of shares, and to per share information have been retroactively adjusted to reflect the impact of the Reverse Stock Split.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center"/>
        <w:rPr>
          <w:rFonts w:ascii="Times New Roman;Times;serif" w:hAnsi="Times New Roman;Times;serif"/>
          <w:sz w:val="20"/>
        </w:rPr>
      </w:pPr>
      <w:r>
        <w:rPr>
          <w:rFonts w:ascii="Times New Roman;Times;serif" w:hAnsi="Times New Roman;Times;serif"/>
          <w:sz w:val="20"/>
        </w:rPr>
        <w:t xml:space="preserve">See accompanying notes to these unaudited condensed consolidated financial statements.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center"/>
        <w:rPr>
          <w:rFonts w:ascii="Times New Roman;Times;serif" w:hAnsi="Times New Roman;Times;serif"/>
          <w:b/>
          <w:sz w:val="16"/>
        </w:rPr>
      </w:pPr>
      <w:bookmarkStart w:id="196" w:name="_b6a989e4_bec7_403c_825b_14dd3fffc48b"/>
      <w:bookmarkEnd w:id="196"/>
      <w:r>
        <w:rPr>
          <w:rFonts w:ascii="Times New Roman;Times;serif" w:hAnsi="Times New Roman;Times;serif"/>
          <w:b/>
          <w:sz w:val="16"/>
        </w:rPr>
        <w:t>KALA BIO, INC.</w:t>
      </w:r>
    </w:p>
    <w:p>
      <w:pPr>
        <w:pStyle w:val="TextBody"/>
        <w:bidi w:val="0"/>
        <w:spacing w:lineRule="auto" w:line="285" w:before="0" w:after="160"/>
        <w:ind w:left="0" w:right="0" w:hanging="0"/>
        <w:jc w:val="center"/>
        <w:rPr>
          <w:rFonts w:ascii="Times New Roman;Times;serif" w:hAnsi="Times New Roman;Times;serif"/>
          <w:b/>
          <w:sz w:val="16"/>
        </w:rPr>
      </w:pPr>
      <w:bookmarkStart w:id="197" w:name="STATEMENTOFEQUITY"/>
      <w:bookmarkEnd w:id="197"/>
      <w:r>
        <w:rPr>
          <w:rFonts w:ascii="Times New Roman;Times;serif" w:hAnsi="Times New Roman;Times;serif"/>
          <w:b/>
          <w:sz w:val="16"/>
        </w:rPr>
        <w:t>CONDENSED CONSOLIDATED STATEMENTS OF CHANGES IN STOCKHOLDERS’ EQUITY (DEFICIT)</w:t>
      </w:r>
    </w:p>
    <w:p>
      <w:pPr>
        <w:pStyle w:val="TextBody"/>
        <w:bidi w:val="0"/>
        <w:spacing w:lineRule="auto" w:line="285" w:before="0" w:after="12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lineRule="auto" w:line="285" w:before="0" w:after="120"/>
        <w:ind w:left="0" w:right="0" w:hanging="0"/>
        <w:jc w:val="center"/>
        <w:rPr>
          <w:rFonts w:ascii="Times New Roman;Times;serif" w:hAnsi="Times New Roman;Times;serif"/>
          <w:b/>
          <w:sz w:val="16"/>
        </w:rPr>
      </w:pPr>
      <w:r>
        <w:rPr>
          <w:rFonts w:ascii="Times New Roman;Times;serif" w:hAnsi="Times New Roman;Times;serif"/>
          <w:b/>
          <w:sz w:val="16"/>
        </w:rPr>
        <w:t>(In thousands, except share and per share amounts)</w:t>
      </w:r>
    </w:p>
    <w:p>
      <w:pPr>
        <w:pStyle w:val="TextBody"/>
        <w:bidi w:val="0"/>
        <w:spacing w:lineRule="auto" w:line="285" w:before="0" w:after="240"/>
        <w:ind w:left="0" w:right="0" w:hanging="0"/>
        <w:jc w:val="left"/>
        <w:rPr/>
      </w:pPr>
      <w:r>
        <w:rPr/>
        <w:t>​</w:t>
      </w:r>
    </w:p>
    <w:p>
      <w:pPr>
        <w:pStyle w:val="Normal"/>
        <w:bidi w:val="0"/>
        <w:spacing w:before="0" w:after="0"/>
        <w:jc w:val="left"/>
        <w:rPr>
          <w:sz w:val="4"/>
          <w:szCs w:val="4"/>
        </w:rPr>
      </w:pPr>
      <w:r>
        <w:rPr>
          <w:sz w:val="4"/>
          <w:szCs w:val="4"/>
        </w:rPr>
      </w:r>
      <w:bookmarkStart w:id="198" w:name="Tc_fEtBOd6cm0Oi0i-3fXA3CQ_13_43"/>
      <w:bookmarkStart w:id="199" w:name="Tc_phB7O3L-WE-DCWCwOl_gLQ_13_40"/>
      <w:bookmarkStart w:id="200" w:name="Tc_SJb8vXec0UyfpuF0_K_lkQ_13_37"/>
      <w:bookmarkStart w:id="201" w:name="Tc_4Q85nkf9YEu0f_zmksmZeQ_13_34"/>
      <w:bookmarkStart w:id="202" w:name="Tc_RoIGdES0TUu3DskOG4o3xA_13_30"/>
      <w:bookmarkStart w:id="203" w:name="Tc_9FlWVHXXlUygb1r1Z1pdSQ_13_29"/>
      <w:bookmarkStart w:id="204" w:name="Tc_bK8KOp12Skyv93v_F9xXKw_13_27"/>
      <w:bookmarkStart w:id="205" w:name="Tc_4c8oYS-WREe731L0FMUT7w_13_25"/>
      <w:bookmarkStart w:id="206" w:name="Tc_IU0R89YG3kSR9N36Hc2Tuw_13_24"/>
      <w:bookmarkStart w:id="207" w:name="Tc_84yayzmSRUmebTfvhIQRYg_13_22"/>
      <w:bookmarkStart w:id="208" w:name="Tc_nZsN0j4mHUCXSUqw0rfTkQ_13_20"/>
      <w:bookmarkStart w:id="209" w:name="Tc_CaR9pxalO0u82R5fkIBxJA_13_19"/>
      <w:bookmarkStart w:id="210" w:name="Tc_2bYejkPAik-IpM1F1VF9ww_13_17"/>
      <w:bookmarkStart w:id="211" w:name="Tc_WR-ibh4KFEW64N5yYL-Viw_13_15"/>
      <w:bookmarkStart w:id="212" w:name="Tc_1M9sPYWGjUeb8TqdmlBd3g_13_14"/>
      <w:bookmarkStart w:id="213" w:name="Tc_Bruk5Hf8eEmmmXi6Edkujw_13_12"/>
      <w:bookmarkStart w:id="214" w:name="Tc_I2Sls2Vy3Eyo9_grZAUqFw_13_10"/>
      <w:bookmarkStart w:id="215" w:name="Tc_eSqpG3Lg4E-sOJHG37lAwA_13_9"/>
      <w:bookmarkStart w:id="216" w:name="Tc_r7CDZtYzR0Cjez_j0vhlkw_13_7"/>
      <w:bookmarkStart w:id="217" w:name="Tc_RHMm0VYYukKLZ2kub8H_0A_13_5"/>
      <w:bookmarkStart w:id="218" w:name="Tc_ztiN3bUOPE-KR5m04OVoZQ_13_4"/>
      <w:bookmarkStart w:id="219" w:name="Tc_RQxTt1qr70a0AL-VWbh4mw_13_2"/>
      <w:bookmarkStart w:id="220" w:name="Tc_h9_34gOwJUWDwk0og_XOIA_13_0"/>
      <w:bookmarkStart w:id="221" w:name="Tc_gEGZ7hT5fU2bW-pt-502lw_12_38"/>
      <w:bookmarkStart w:id="222" w:name="Tc_WdJCL1iVjUWtBpIT3LTUeQ_12_35"/>
      <w:bookmarkStart w:id="223" w:name="Tc_yulrWdTEDk29kDJHoKpeNA_12_32"/>
      <w:bookmarkStart w:id="224" w:name="Tc_ueo3Xx8Zg02dyYDDygj4kA_12_30"/>
      <w:bookmarkStart w:id="225" w:name="Tc_IemkhsQ2DEigvy6SvC4THA_12_27"/>
      <w:bookmarkStart w:id="226" w:name="Tc_6iWWaN1pqEeVAv4uSbzqrQ_12_25"/>
      <w:bookmarkStart w:id="227" w:name="Tc_OzzlHmi6qkODPIN7XsXAaQ_12_22"/>
      <w:bookmarkStart w:id="228" w:name="Tc_hH9v88-WE0OQPhlRTq9yMQ_12_20"/>
      <w:bookmarkStart w:id="229" w:name="Tc_jfHBBtUWFEGVQ1ED7-E7sg_12_17"/>
      <w:bookmarkStart w:id="230" w:name="Tc_i85akw4nTkKDSBY6m-lRjw_12_15"/>
      <w:bookmarkStart w:id="231" w:name="Tc_P8-u5vy9706x0rnmNe9xEw_12_12"/>
      <w:bookmarkStart w:id="232" w:name="Tc_iKAJS7iH70K1Ukvz4WN3Mg_12_10"/>
      <w:bookmarkStart w:id="233" w:name="Tc_rs5UUOo2y0OFRlo_LCUNrg_12_7"/>
      <w:bookmarkStart w:id="234" w:name="Tc_FRlSFXr5yk6dl6hsqqO1Hw_12_5"/>
      <w:bookmarkStart w:id="235" w:name="Tc_hoPSuI6PJkGXYnxDQy7e4g_12_2"/>
      <w:bookmarkStart w:id="236" w:name="Tc_VeizvPI8zke6fuQN6ICTFg_12_0"/>
      <w:bookmarkStart w:id="237" w:name="Tc_SDkOccO_W0yqOoOx7vbNYQ_11_41"/>
      <w:bookmarkStart w:id="238" w:name="Tc_ou6rTFzukEy8OiVdNlOEsg_11_35"/>
      <w:bookmarkStart w:id="239" w:name="Tc_MSLVVU7hkkmLdegXqMKmgw_11_32"/>
      <w:bookmarkStart w:id="240" w:name="Tc_gSzkkD7ctk-GVeo1OE1mvQ_11_30"/>
      <w:bookmarkStart w:id="241" w:name="Tc_pls6GIhpPk-rpg_34vqUvg_11_27"/>
      <w:bookmarkStart w:id="242" w:name="Tc_VjjQsolFXECZj-7EEt4TFQ_11_25"/>
      <w:bookmarkStart w:id="243" w:name="Tc_PjtNw8OhN0a7gVnO3wa10A_11_22"/>
      <w:bookmarkStart w:id="244" w:name="Tc_j32cpDb1CkOS8EWHMlaSjQ_11_20"/>
      <w:bookmarkStart w:id="245" w:name="Tc_YrDki-SCo0KLfJ9IiWJNFg_11_17"/>
      <w:bookmarkStart w:id="246" w:name="Tc_NcrdI6RV0E6jgcctgjX0Xw_11_15"/>
      <w:bookmarkStart w:id="247" w:name="Tc_jYZvY7LcCUewkqs8QAEIcg_11_12"/>
      <w:bookmarkStart w:id="248" w:name="Tc_7Z80mai9xkOba3fi-CVi9g_11_10"/>
      <w:bookmarkStart w:id="249" w:name="Tc_AhKMErbp2k2VB6ggwxRWRA_11_7"/>
      <w:bookmarkStart w:id="250" w:name="Tc_Zhvvs1AFqEmtq8ZIMqlo8Q_11_5"/>
      <w:bookmarkStart w:id="251" w:name="Tc_twdUXlQ9WE-os01dnrvVcQ_11_2"/>
      <w:bookmarkStart w:id="252" w:name="Tc_9etvNSIlXkGF5ZxwjaaDsw_11_0"/>
      <w:bookmarkStart w:id="253" w:name="Tc_UJUP04wDGU6ondZyLQFBUA_10_44"/>
      <w:bookmarkStart w:id="254" w:name="Tc_SpBCKgnBA0Gbp5JOS6CJGw_10_41"/>
      <w:bookmarkStart w:id="255" w:name="Tc_O4_M_yLg4Uag20aM3mZMQw_10_38"/>
      <w:bookmarkStart w:id="256" w:name="Tc_gzNZ0cd_dEaBBDFBjZEIWA_10_35"/>
      <w:bookmarkStart w:id="257" w:name="Tc_AhvdQyasqkG35QrglFlXSQ_10_30"/>
      <w:bookmarkStart w:id="258" w:name="Tc_BP2HiyhN6kSY_3E74GZkiQ_10_27"/>
      <w:bookmarkStart w:id="259" w:name="Tc_mlGC1ufIsk2BYd16lH0m2A_10_25"/>
      <w:bookmarkStart w:id="260" w:name="Tc_u6vkhE-v1kiYmw01Y0HtdQ_10_22"/>
      <w:bookmarkStart w:id="261" w:name="Tc_i6V4Y6dZDkGBBTQtEERusA_10_20"/>
      <w:bookmarkStart w:id="262" w:name="Tc_ha93nohKNkayjM_l6kQbLQ_10_17"/>
      <w:bookmarkStart w:id="263" w:name="Tc_-aiFYjIyPU6jQySrWFpaMA_10_15"/>
      <w:bookmarkStart w:id="264" w:name="Tc_4iBqtp0_rE-pnyhUjUaLfA_10_12"/>
      <w:bookmarkStart w:id="265" w:name="Tc_zSAoggERpEeHyGm8frec2w_10_10"/>
      <w:bookmarkStart w:id="266" w:name="Tc_KAN1yo6VBkq5PGNG6QVMcA_10_7"/>
      <w:bookmarkStart w:id="267" w:name="Tc_Xx23frMfckWpogsGQrLZOg_10_5"/>
      <w:bookmarkStart w:id="268" w:name="Tc_kJGnu14xFUi8SO8ZQG0JiA_10_2"/>
      <w:bookmarkStart w:id="269" w:name="Tc_K9fBELhzBUSBdqwTh4q5yw_10_0"/>
      <w:bookmarkStart w:id="270" w:name="Tc_jCPxT-vyF0iRkWVW6j3SKQ_9_44"/>
      <w:bookmarkStart w:id="271" w:name="Tc_Xse49Na9rUqc5210mcDxJg_9_41"/>
      <w:bookmarkStart w:id="272" w:name="Tc_HnCr9yE050Sf9Y7qxqXaJA_9_38"/>
      <w:bookmarkStart w:id="273" w:name="Tc_cAx5QUdj0U6UnWYjVUo0cw_9_25"/>
      <w:bookmarkStart w:id="274" w:name="Tc_TIYMJuPs_kKvcGSnp3ka0A_9_22"/>
      <w:bookmarkStart w:id="275" w:name="Tc_pEu9oNSORECargdyV7p3hQ_9_20"/>
      <w:bookmarkStart w:id="276" w:name="Tc_P4GKsQKB6EyfbGEIrZFB5A_9_17"/>
      <w:bookmarkStart w:id="277" w:name="Tc_BlCSsYv0WUOt4-L9zYYYzA_9_15"/>
      <w:bookmarkStart w:id="278" w:name="Tc_0k1tnyUShUOLtWwp-y87aw_9_12"/>
      <w:bookmarkStart w:id="279" w:name="Tc_y_R6HXtQB0ijVdEE0BG2MQ_9_10"/>
      <w:bookmarkStart w:id="280" w:name="Tc_9omU3F4T_02JbfZyG4Vtbw_9_7"/>
      <w:bookmarkStart w:id="281" w:name="Tc_DJV-WcN4E0S9D1zGBWJBHA_9_5"/>
      <w:bookmarkStart w:id="282" w:name="Tc_AjF2kiZ4WUKDSgj4WgwyOw_9_2"/>
      <w:bookmarkStart w:id="283" w:name="Tc_tkpxegdGWUiSIq0VX7rwDQ_9_0"/>
      <w:bookmarkStart w:id="284" w:name="Tc_0NyAsPp0vUKAQ4-YPkg1iA_8_43"/>
      <w:bookmarkStart w:id="285" w:name="Tc_iHHKcXmp_k6n7pVkG3RFkw_8_40"/>
      <w:bookmarkStart w:id="286" w:name="Tc_5aPnKr2zvUGUCIUThq2-0w_8_37"/>
      <w:bookmarkStart w:id="287" w:name="Tc_5Lxh9zt8iEG167sVuxx1Hg_8_34"/>
      <w:bookmarkStart w:id="288" w:name="Tc_VoCkjyI0LUe4M49t7m8Ohg_8_29"/>
      <w:bookmarkStart w:id="289" w:name="Tc_uIiZJ8pLaESYk2D-aAY3Lg_8_25"/>
      <w:bookmarkStart w:id="290" w:name="Tc_G6_RvbgGh0aNqlNtY_VjDw_8_24"/>
      <w:bookmarkStart w:id="291" w:name="Tc_wHehZA_nnU-zGkx60m0KQQ_8_22"/>
      <w:bookmarkStart w:id="292" w:name="Tc_DDt6muUoXkWDfLaxjvsr4g_8_20"/>
      <w:bookmarkStart w:id="293" w:name="Tc_ZLCF7HwOr0mCFm6ihmuVaA_8_19"/>
      <w:bookmarkStart w:id="294" w:name="Tc_pD152_PQp0i50Z77DVOvEA_8_17"/>
      <w:bookmarkStart w:id="295" w:name="Tc_aVPqv1J0jkKDzaQNFtQHXg_8_15"/>
      <w:bookmarkStart w:id="296" w:name="Tc_eCsxcc7lWE-gIze6CAXeJw_8_14"/>
      <w:bookmarkStart w:id="297" w:name="Tc_cQ5s9pH1QkiU_noUFIx9jg_8_12"/>
      <w:bookmarkStart w:id="298" w:name="Tc_jaVsVwb5vUaDEeGKrbmhxw_8_10"/>
      <w:bookmarkStart w:id="299" w:name="Tc_2iLGZxrCKEOGBCpU0XYtOw_8_9"/>
      <w:bookmarkStart w:id="300" w:name="Tc_D5xXXo-ytEW0zdLidkMXuQ_8_7"/>
      <w:bookmarkStart w:id="301" w:name="Tc_PME2EadzkkS72WcaLauU3g_8_5"/>
      <w:bookmarkStart w:id="302" w:name="Tc_836O8hrOnkelU_0TK8wNpA_8_4"/>
      <w:bookmarkStart w:id="303" w:name="Tc_SprPpfqVTkOT9ttiazoN1Q_8_2"/>
      <w:bookmarkStart w:id="304" w:name="Tc_HhsfnpWV706nI3-vUVZyhw_8_0"/>
      <w:bookmarkStart w:id="305" w:name="Tc_zSXNoMPUD0a-k6EQGX9H3Q_7_43"/>
      <w:bookmarkStart w:id="306" w:name="Tc_ciQeQYJaXki9raKLN_6DoQ_7_40"/>
      <w:bookmarkStart w:id="307" w:name="Tc_LkBJRpm3eE-KXTmaZFACZw_7_37"/>
      <w:bookmarkStart w:id="308" w:name="Tc_44gzoMrvmkOR1_oZKhI4rA_7_34"/>
      <w:bookmarkStart w:id="309" w:name="Tc_TcvcQW014kq7DLRRvecrpg_7_32"/>
      <w:bookmarkStart w:id="310" w:name="Tc_ksuGNGiIz0eAZS5P3GicfQ_7_29"/>
      <w:bookmarkStart w:id="311" w:name="Tc_CeBhSIKNHEilrXpAi3a28g_7_27"/>
      <w:bookmarkStart w:id="312" w:name="Tc_n3LkfluBA0uE3dvNruM1vw_7_24"/>
      <w:bookmarkStart w:id="313" w:name="Tc_H6l8f6mWb0KQIRVHD01lQQ_7_22"/>
      <w:bookmarkStart w:id="314" w:name="Tc_u_GYoreNnECIR61n9vFTvw_7_19"/>
      <w:bookmarkStart w:id="315" w:name="Tc_gqqUdAXfekqEkvEM49OqgA_7_17"/>
      <w:bookmarkStart w:id="316" w:name="Tc__ddEKSxTMUCzpKdpHfDvtA_7_14"/>
      <w:bookmarkStart w:id="317" w:name="Tc_RsQ_CKNOj0SjLcYFWCB96g_7_12"/>
      <w:bookmarkStart w:id="318" w:name="Tc_5JOtW-1fUUOVGbLU3LQheA_7_9"/>
      <w:bookmarkStart w:id="319" w:name="Tc_fQl3vatfOkGDySl5rU0kMQ_7_7"/>
      <w:bookmarkStart w:id="320" w:name="Tc_i1YirUP57USZcXRmNSj6Iw_7_4"/>
      <w:bookmarkStart w:id="321" w:name="Tc_CijoJPswQEK5-hXevrIomg_7_2"/>
      <w:bookmarkStart w:id="322" w:name="Tc_M_AVYP9FH0GCMYwW6MxoUA_6_43"/>
      <w:bookmarkStart w:id="323" w:name="Tc_la4T3ao8f0e5dM5Ax1ke4A_6_40"/>
      <w:bookmarkStart w:id="324" w:name="Tc_Ql041UTD_kOHQ29jql4CQg_6_37"/>
      <w:bookmarkStart w:id="325" w:name="Tc_p7X0qtqfEUCvkkkfTsTWNg_6_32"/>
      <w:bookmarkStart w:id="326" w:name="Tc_346x3cxCJUy-tvWOeviU-g_6_27"/>
      <w:bookmarkStart w:id="327" w:name="Tc_rf3U6LILukyrc2CNwBeGwg_6_22"/>
      <w:bookmarkStart w:id="328" w:name="Tc_scZz1EMorUaVPIHm-BLX2Q_6_17"/>
      <w:bookmarkStart w:id="329" w:name="Tc_Q-9hqR-FikStaD9bNJaevg_6_12"/>
      <w:bookmarkStart w:id="330" w:name="Tc_j4nD_c2xKUKAlcj0fYiglg_6_7"/>
      <w:bookmarkStart w:id="331" w:name="Tc_9pBMEmNZhEeMu_Abc5mq0A_6_2"/>
      <w:bookmarkStart w:id="332" w:name="Tc_Uy1spvpgU0iaACD3OY_f2Q_5_43"/>
      <w:bookmarkStart w:id="333" w:name="Tc_EgLZvF7NjkW_aOJwTuEg_g_5_37"/>
      <w:bookmarkStart w:id="334" w:name="Tc_qARVdJEWmUOUsBqiNTRP2g_5_32"/>
      <w:bookmarkStart w:id="335" w:name="Tc_uNHMxuihtkyu1Q80Soonmw_5_27"/>
      <w:bookmarkStart w:id="336" w:name="Tc_d3soHWYz50OlWlfmHLFLgQ_5_22"/>
      <w:bookmarkStart w:id="337" w:name="Tc_xMG6niTej0Kj5Xm--7ketA_5_17"/>
      <w:bookmarkStart w:id="338" w:name="Tc_hPSMPZOk9kq0cblWpc1cXg_5_12"/>
      <w:bookmarkStart w:id="339" w:name="Tc_khtp09GBKk2S9mSNSYoHfw_5_7"/>
      <w:bookmarkStart w:id="340" w:name="Tc_DZRXSFpKj0WV3FeBzIK9xg_5_2"/>
      <w:bookmarkStart w:id="341" w:name="Tc_nsltUlUO8EGkPKWyvrqL1A_4_27"/>
      <w:bookmarkStart w:id="342" w:name="Tc_eZZva6KgHEupM6ueH_17rg_4_22"/>
      <w:bookmarkStart w:id="343" w:name="Tc_9a3z-nZoRE6lo_iBx9YR4g_4_17"/>
      <w:bookmarkStart w:id="344" w:name="Tc_TZNtxv1lY06i3_uTpcDDhQ_4_12"/>
      <w:bookmarkStart w:id="345" w:name="Tc_akuhWFETFkKg21fIeGOsoQ_4_7"/>
      <w:bookmarkStart w:id="346" w:name="Tc_ju7qoHasVUuVLtSLf0nQlQ_4_2"/>
      <w:bookmarkStart w:id="347" w:name="Tc_2aOo516nzEW1bnYE5HrUUQ_3_27"/>
      <w:bookmarkStart w:id="348" w:name="Tc_0-nSl75sPEutYDtVv-jwdg_3_22"/>
      <w:bookmarkStart w:id="349" w:name="Tc_NnHYilwi-U22bMZLVNWC5A_3_17"/>
      <w:bookmarkStart w:id="350" w:name="Tc_F-mWDMa2O0eTQqgVV4KYHg_3_12"/>
      <w:bookmarkStart w:id="351" w:name="Tc_uEbUaeiSn023TsPgbzvrzw_3_7"/>
      <w:bookmarkStart w:id="352" w:name="Tc_25KlFtaW4UqAySnolpFxiQ_3_2"/>
      <w:bookmarkStart w:id="353" w:name="Tc_H1NWYxFckU2Wh2RUqkLeug_2_27"/>
      <w:bookmarkStart w:id="354" w:name="Tc_w2W-_S7bFkid2Tjk7y4sDw_2_22"/>
      <w:bookmarkStart w:id="355" w:name="Tc_B7XTZIBYiUm5JYDuCTysdg_2_17"/>
      <w:bookmarkStart w:id="356" w:name="Tc_v8ZYpd9gEUuhX4ab7JMbEg_2_12"/>
      <w:bookmarkStart w:id="357" w:name="Tc_Z_uGtF8klkOEdzKDYUinrw_2_7"/>
      <w:bookmarkStart w:id="358" w:name="Tc_49S0R8CjKki6me2O5mTRIw_2_2"/>
      <w:bookmarkStart w:id="359" w:name="Tc_SQ5LORCLnk-U3WhL-ApwIw_1_2"/>
      <w:bookmarkStart w:id="360" w:name="_7ba72d9e_a41e_416c_8dac_af82c9c76c8f"/>
      <w:bookmarkStart w:id="361" w:name="Tc_fEtBOd6cm0Oi0i-3fXA3CQ_13_43"/>
      <w:bookmarkStart w:id="362" w:name="Tc_phB7O3L-WE-DCWCwOl_gLQ_13_40"/>
      <w:bookmarkStart w:id="363" w:name="Tc_SJb8vXec0UyfpuF0_K_lkQ_13_37"/>
      <w:bookmarkStart w:id="364" w:name="Tc_4Q85nkf9YEu0f_zmksmZeQ_13_34"/>
      <w:bookmarkStart w:id="365" w:name="Tc_RoIGdES0TUu3DskOG4o3xA_13_30"/>
      <w:bookmarkStart w:id="366" w:name="Tc_9FlWVHXXlUygb1r1Z1pdSQ_13_29"/>
      <w:bookmarkStart w:id="367" w:name="Tc_bK8KOp12Skyv93v_F9xXKw_13_27"/>
      <w:bookmarkStart w:id="368" w:name="Tc_4c8oYS-WREe731L0FMUT7w_13_25"/>
      <w:bookmarkStart w:id="369" w:name="Tc_IU0R89YG3kSR9N36Hc2Tuw_13_24"/>
      <w:bookmarkStart w:id="370" w:name="Tc_84yayzmSRUmebTfvhIQRYg_13_22"/>
      <w:bookmarkStart w:id="371" w:name="Tc_nZsN0j4mHUCXSUqw0rfTkQ_13_20"/>
      <w:bookmarkStart w:id="372" w:name="Tc_CaR9pxalO0u82R5fkIBxJA_13_19"/>
      <w:bookmarkStart w:id="373" w:name="Tc_2bYejkPAik-IpM1F1VF9ww_13_17"/>
      <w:bookmarkStart w:id="374" w:name="Tc_WR-ibh4KFEW64N5yYL-Viw_13_15"/>
      <w:bookmarkStart w:id="375" w:name="Tc_1M9sPYWGjUeb8TqdmlBd3g_13_14"/>
      <w:bookmarkStart w:id="376" w:name="Tc_Bruk5Hf8eEmmmXi6Edkujw_13_12"/>
      <w:bookmarkStart w:id="377" w:name="Tc_I2Sls2Vy3Eyo9_grZAUqFw_13_10"/>
      <w:bookmarkStart w:id="378" w:name="Tc_eSqpG3Lg4E-sOJHG37lAwA_13_9"/>
      <w:bookmarkStart w:id="379" w:name="Tc_r7CDZtYzR0Cjez_j0vhlkw_13_7"/>
      <w:bookmarkStart w:id="380" w:name="Tc_RHMm0VYYukKLZ2kub8H_0A_13_5"/>
      <w:bookmarkStart w:id="381" w:name="Tc_ztiN3bUOPE-KR5m04OVoZQ_13_4"/>
      <w:bookmarkStart w:id="382" w:name="Tc_RQxTt1qr70a0AL-VWbh4mw_13_2"/>
      <w:bookmarkStart w:id="383" w:name="Tc_h9_34gOwJUWDwk0og_XOIA_13_0"/>
      <w:bookmarkStart w:id="384" w:name="Tc_gEGZ7hT5fU2bW-pt-502lw_12_38"/>
      <w:bookmarkStart w:id="385" w:name="Tc_WdJCL1iVjUWtBpIT3LTUeQ_12_35"/>
      <w:bookmarkStart w:id="386" w:name="Tc_yulrWdTEDk29kDJHoKpeNA_12_32"/>
      <w:bookmarkStart w:id="387" w:name="Tc_ueo3Xx8Zg02dyYDDygj4kA_12_30"/>
      <w:bookmarkStart w:id="388" w:name="Tc_IemkhsQ2DEigvy6SvC4THA_12_27"/>
      <w:bookmarkStart w:id="389" w:name="Tc_6iWWaN1pqEeVAv4uSbzqrQ_12_25"/>
      <w:bookmarkStart w:id="390" w:name="Tc_OzzlHmi6qkODPIN7XsXAaQ_12_22"/>
      <w:bookmarkStart w:id="391" w:name="Tc_hH9v88-WE0OQPhlRTq9yMQ_12_20"/>
      <w:bookmarkStart w:id="392" w:name="Tc_jfHBBtUWFEGVQ1ED7-E7sg_12_17"/>
      <w:bookmarkStart w:id="393" w:name="Tc_i85akw4nTkKDSBY6m-lRjw_12_15"/>
      <w:bookmarkStart w:id="394" w:name="Tc_P8-u5vy9706x0rnmNe9xEw_12_12"/>
      <w:bookmarkStart w:id="395" w:name="Tc_iKAJS7iH70K1Ukvz4WN3Mg_12_10"/>
      <w:bookmarkStart w:id="396" w:name="Tc_rs5UUOo2y0OFRlo_LCUNrg_12_7"/>
      <w:bookmarkStart w:id="397" w:name="Tc_FRlSFXr5yk6dl6hsqqO1Hw_12_5"/>
      <w:bookmarkStart w:id="398" w:name="Tc_hoPSuI6PJkGXYnxDQy7e4g_12_2"/>
      <w:bookmarkStart w:id="399" w:name="Tc_VeizvPI8zke6fuQN6ICTFg_12_0"/>
      <w:bookmarkStart w:id="400" w:name="Tc_SDkOccO_W0yqOoOx7vbNYQ_11_41"/>
      <w:bookmarkStart w:id="401" w:name="Tc_ou6rTFzukEy8OiVdNlOEsg_11_35"/>
      <w:bookmarkStart w:id="402" w:name="Tc_MSLVVU7hkkmLdegXqMKmgw_11_32"/>
      <w:bookmarkStart w:id="403" w:name="Tc_gSzkkD7ctk-GVeo1OE1mvQ_11_30"/>
      <w:bookmarkStart w:id="404" w:name="Tc_pls6GIhpPk-rpg_34vqUvg_11_27"/>
      <w:bookmarkStart w:id="405" w:name="Tc_VjjQsolFXECZj-7EEt4TFQ_11_25"/>
      <w:bookmarkStart w:id="406" w:name="Tc_PjtNw8OhN0a7gVnO3wa10A_11_22"/>
      <w:bookmarkStart w:id="407" w:name="Tc_j32cpDb1CkOS8EWHMlaSjQ_11_20"/>
      <w:bookmarkStart w:id="408" w:name="Tc_YrDki-SCo0KLfJ9IiWJNFg_11_17"/>
      <w:bookmarkStart w:id="409" w:name="Tc_NcrdI6RV0E6jgcctgjX0Xw_11_15"/>
      <w:bookmarkStart w:id="410" w:name="Tc_jYZvY7LcCUewkqs8QAEIcg_11_12"/>
      <w:bookmarkStart w:id="411" w:name="Tc_7Z80mai9xkOba3fi-CVi9g_11_10"/>
      <w:bookmarkStart w:id="412" w:name="Tc_AhKMErbp2k2VB6ggwxRWRA_11_7"/>
      <w:bookmarkStart w:id="413" w:name="Tc_Zhvvs1AFqEmtq8ZIMqlo8Q_11_5"/>
      <w:bookmarkStart w:id="414" w:name="Tc_twdUXlQ9WE-os01dnrvVcQ_11_2"/>
      <w:bookmarkStart w:id="415" w:name="Tc_9etvNSIlXkGF5ZxwjaaDsw_11_0"/>
      <w:bookmarkStart w:id="416" w:name="Tc_UJUP04wDGU6ondZyLQFBUA_10_44"/>
      <w:bookmarkStart w:id="417" w:name="Tc_SpBCKgnBA0Gbp5JOS6CJGw_10_41"/>
      <w:bookmarkStart w:id="418" w:name="Tc_O4_M_yLg4Uag20aM3mZMQw_10_38"/>
      <w:bookmarkStart w:id="419" w:name="Tc_gzNZ0cd_dEaBBDFBjZEIWA_10_35"/>
      <w:bookmarkStart w:id="420" w:name="Tc_AhvdQyasqkG35QrglFlXSQ_10_30"/>
      <w:bookmarkStart w:id="421" w:name="Tc_BP2HiyhN6kSY_3E74GZkiQ_10_27"/>
      <w:bookmarkStart w:id="422" w:name="Tc_mlGC1ufIsk2BYd16lH0m2A_10_25"/>
      <w:bookmarkStart w:id="423" w:name="Tc_u6vkhE-v1kiYmw01Y0HtdQ_10_22"/>
      <w:bookmarkStart w:id="424" w:name="Tc_i6V4Y6dZDkGBBTQtEERusA_10_20"/>
      <w:bookmarkStart w:id="425" w:name="Tc_ha93nohKNkayjM_l6kQbLQ_10_17"/>
      <w:bookmarkStart w:id="426" w:name="Tc_-aiFYjIyPU6jQySrWFpaMA_10_15"/>
      <w:bookmarkStart w:id="427" w:name="Tc_4iBqtp0_rE-pnyhUjUaLfA_10_12"/>
      <w:bookmarkStart w:id="428" w:name="Tc_zSAoggERpEeHyGm8frec2w_10_10"/>
      <w:bookmarkStart w:id="429" w:name="Tc_KAN1yo6VBkq5PGNG6QVMcA_10_7"/>
      <w:bookmarkStart w:id="430" w:name="Tc_Xx23frMfckWpogsGQrLZOg_10_5"/>
      <w:bookmarkStart w:id="431" w:name="Tc_kJGnu14xFUi8SO8ZQG0JiA_10_2"/>
      <w:bookmarkStart w:id="432" w:name="Tc_K9fBELhzBUSBdqwTh4q5yw_10_0"/>
      <w:bookmarkStart w:id="433" w:name="Tc_jCPxT-vyF0iRkWVW6j3SKQ_9_44"/>
      <w:bookmarkStart w:id="434" w:name="Tc_Xse49Na9rUqc5210mcDxJg_9_41"/>
      <w:bookmarkStart w:id="435" w:name="Tc_HnCr9yE050Sf9Y7qxqXaJA_9_38"/>
      <w:bookmarkStart w:id="436" w:name="Tc_cAx5QUdj0U6UnWYjVUo0cw_9_25"/>
      <w:bookmarkStart w:id="437" w:name="Tc_TIYMJuPs_kKvcGSnp3ka0A_9_22"/>
      <w:bookmarkStart w:id="438" w:name="Tc_pEu9oNSORECargdyV7p3hQ_9_20"/>
      <w:bookmarkStart w:id="439" w:name="Tc_P4GKsQKB6EyfbGEIrZFB5A_9_17"/>
      <w:bookmarkStart w:id="440" w:name="Tc_BlCSsYv0WUOt4-L9zYYYzA_9_15"/>
      <w:bookmarkStart w:id="441" w:name="Tc_0k1tnyUShUOLtWwp-y87aw_9_12"/>
      <w:bookmarkStart w:id="442" w:name="Tc_y_R6HXtQB0ijVdEE0BG2MQ_9_10"/>
      <w:bookmarkStart w:id="443" w:name="Tc_9omU3F4T_02JbfZyG4Vtbw_9_7"/>
      <w:bookmarkStart w:id="444" w:name="Tc_DJV-WcN4E0S9D1zGBWJBHA_9_5"/>
      <w:bookmarkStart w:id="445" w:name="Tc_AjF2kiZ4WUKDSgj4WgwyOw_9_2"/>
      <w:bookmarkStart w:id="446" w:name="Tc_tkpxegdGWUiSIq0VX7rwDQ_9_0"/>
      <w:bookmarkStart w:id="447" w:name="Tc_0NyAsPp0vUKAQ4-YPkg1iA_8_43"/>
      <w:bookmarkStart w:id="448" w:name="Tc_iHHKcXmp_k6n7pVkG3RFkw_8_40"/>
      <w:bookmarkStart w:id="449" w:name="Tc_5aPnKr2zvUGUCIUThq2-0w_8_37"/>
      <w:bookmarkStart w:id="450" w:name="Tc_5Lxh9zt8iEG167sVuxx1Hg_8_34"/>
      <w:bookmarkStart w:id="451" w:name="Tc_VoCkjyI0LUe4M49t7m8Ohg_8_29"/>
      <w:bookmarkStart w:id="452" w:name="Tc_uIiZJ8pLaESYk2D-aAY3Lg_8_25"/>
      <w:bookmarkStart w:id="453" w:name="Tc_G6_RvbgGh0aNqlNtY_VjDw_8_24"/>
      <w:bookmarkStart w:id="454" w:name="Tc_wHehZA_nnU-zGkx60m0KQQ_8_22"/>
      <w:bookmarkStart w:id="455" w:name="Tc_DDt6muUoXkWDfLaxjvsr4g_8_20"/>
      <w:bookmarkStart w:id="456" w:name="Tc_ZLCF7HwOr0mCFm6ihmuVaA_8_19"/>
      <w:bookmarkStart w:id="457" w:name="Tc_pD152_PQp0i50Z77DVOvEA_8_17"/>
      <w:bookmarkStart w:id="458" w:name="Tc_aVPqv1J0jkKDzaQNFtQHXg_8_15"/>
      <w:bookmarkStart w:id="459" w:name="Tc_eCsxcc7lWE-gIze6CAXeJw_8_14"/>
      <w:bookmarkStart w:id="460" w:name="Tc_cQ5s9pH1QkiU_noUFIx9jg_8_12"/>
      <w:bookmarkStart w:id="461" w:name="Tc_jaVsVwb5vUaDEeGKrbmhxw_8_10"/>
      <w:bookmarkStart w:id="462" w:name="Tc_2iLGZxrCKEOGBCpU0XYtOw_8_9"/>
      <w:bookmarkStart w:id="463" w:name="Tc_D5xXXo-ytEW0zdLidkMXuQ_8_7"/>
      <w:bookmarkStart w:id="464" w:name="Tc_PME2EadzkkS72WcaLauU3g_8_5"/>
      <w:bookmarkStart w:id="465" w:name="Tc_836O8hrOnkelU_0TK8wNpA_8_4"/>
      <w:bookmarkStart w:id="466" w:name="Tc_SprPpfqVTkOT9ttiazoN1Q_8_2"/>
      <w:bookmarkStart w:id="467" w:name="Tc_HhsfnpWV706nI3-vUVZyhw_8_0"/>
      <w:bookmarkStart w:id="468" w:name="Tc_zSXNoMPUD0a-k6EQGX9H3Q_7_43"/>
      <w:bookmarkStart w:id="469" w:name="Tc_ciQeQYJaXki9raKLN_6DoQ_7_40"/>
      <w:bookmarkStart w:id="470" w:name="Tc_LkBJRpm3eE-KXTmaZFACZw_7_37"/>
      <w:bookmarkStart w:id="471" w:name="Tc_44gzoMrvmkOR1_oZKhI4rA_7_34"/>
      <w:bookmarkStart w:id="472" w:name="Tc_TcvcQW014kq7DLRRvecrpg_7_32"/>
      <w:bookmarkStart w:id="473" w:name="Tc_ksuGNGiIz0eAZS5P3GicfQ_7_29"/>
      <w:bookmarkStart w:id="474" w:name="Tc_CeBhSIKNHEilrXpAi3a28g_7_27"/>
      <w:bookmarkStart w:id="475" w:name="Tc_n3LkfluBA0uE3dvNruM1vw_7_24"/>
      <w:bookmarkStart w:id="476" w:name="Tc_H6l8f6mWb0KQIRVHD01lQQ_7_22"/>
      <w:bookmarkStart w:id="477" w:name="Tc_u_GYoreNnECIR61n9vFTvw_7_19"/>
      <w:bookmarkStart w:id="478" w:name="Tc_gqqUdAXfekqEkvEM49OqgA_7_17"/>
      <w:bookmarkStart w:id="479" w:name="Tc__ddEKSxTMUCzpKdpHfDvtA_7_14"/>
      <w:bookmarkStart w:id="480" w:name="Tc_RsQ_CKNOj0SjLcYFWCB96g_7_12"/>
      <w:bookmarkStart w:id="481" w:name="Tc_5JOtW-1fUUOVGbLU3LQheA_7_9"/>
      <w:bookmarkStart w:id="482" w:name="Tc_fQl3vatfOkGDySl5rU0kMQ_7_7"/>
      <w:bookmarkStart w:id="483" w:name="Tc_i1YirUP57USZcXRmNSj6Iw_7_4"/>
      <w:bookmarkStart w:id="484" w:name="Tc_CijoJPswQEK5-hXevrIomg_7_2"/>
      <w:bookmarkStart w:id="485" w:name="Tc_M_AVYP9FH0GCMYwW6MxoUA_6_43"/>
      <w:bookmarkStart w:id="486" w:name="Tc_la4T3ao8f0e5dM5Ax1ke4A_6_40"/>
      <w:bookmarkStart w:id="487" w:name="Tc_Ql041UTD_kOHQ29jql4CQg_6_37"/>
      <w:bookmarkStart w:id="488" w:name="Tc_p7X0qtqfEUCvkkkfTsTWNg_6_32"/>
      <w:bookmarkStart w:id="489" w:name="Tc_346x3cxCJUy-tvWOeviU-g_6_27"/>
      <w:bookmarkStart w:id="490" w:name="Tc_rf3U6LILukyrc2CNwBeGwg_6_22"/>
      <w:bookmarkStart w:id="491" w:name="Tc_scZz1EMorUaVPIHm-BLX2Q_6_17"/>
      <w:bookmarkStart w:id="492" w:name="Tc_Q-9hqR-FikStaD9bNJaevg_6_12"/>
      <w:bookmarkStart w:id="493" w:name="Tc_j4nD_c2xKUKAlcj0fYiglg_6_7"/>
      <w:bookmarkStart w:id="494" w:name="Tc_9pBMEmNZhEeMu_Abc5mq0A_6_2"/>
      <w:bookmarkStart w:id="495" w:name="Tc_Uy1spvpgU0iaACD3OY_f2Q_5_43"/>
      <w:bookmarkStart w:id="496" w:name="Tc_EgLZvF7NjkW_aOJwTuEg_g_5_37"/>
      <w:bookmarkStart w:id="497" w:name="Tc_qARVdJEWmUOUsBqiNTRP2g_5_32"/>
      <w:bookmarkStart w:id="498" w:name="Tc_uNHMxuihtkyu1Q80Soonmw_5_27"/>
      <w:bookmarkStart w:id="499" w:name="Tc_d3soHWYz50OlWlfmHLFLgQ_5_22"/>
      <w:bookmarkStart w:id="500" w:name="Tc_xMG6niTej0Kj5Xm--7ketA_5_17"/>
      <w:bookmarkStart w:id="501" w:name="Tc_hPSMPZOk9kq0cblWpc1cXg_5_12"/>
      <w:bookmarkStart w:id="502" w:name="Tc_khtp09GBKk2S9mSNSYoHfw_5_7"/>
      <w:bookmarkStart w:id="503" w:name="Tc_DZRXSFpKj0WV3FeBzIK9xg_5_2"/>
      <w:bookmarkStart w:id="504" w:name="Tc_nsltUlUO8EGkPKWyvrqL1A_4_27"/>
      <w:bookmarkStart w:id="505" w:name="Tc_eZZva6KgHEupM6ueH_17rg_4_22"/>
      <w:bookmarkStart w:id="506" w:name="Tc_9a3z-nZoRE6lo_iBx9YR4g_4_17"/>
      <w:bookmarkStart w:id="507" w:name="Tc_TZNtxv1lY06i3_uTpcDDhQ_4_12"/>
      <w:bookmarkStart w:id="508" w:name="Tc_akuhWFETFkKg21fIeGOsoQ_4_7"/>
      <w:bookmarkStart w:id="509" w:name="Tc_ju7qoHasVUuVLtSLf0nQlQ_4_2"/>
      <w:bookmarkStart w:id="510" w:name="Tc_2aOo516nzEW1bnYE5HrUUQ_3_27"/>
      <w:bookmarkStart w:id="511" w:name="Tc_0-nSl75sPEutYDtVv-jwdg_3_22"/>
      <w:bookmarkStart w:id="512" w:name="Tc_NnHYilwi-U22bMZLVNWC5A_3_17"/>
      <w:bookmarkStart w:id="513" w:name="Tc_F-mWDMa2O0eTQqgVV4KYHg_3_12"/>
      <w:bookmarkStart w:id="514" w:name="Tc_uEbUaeiSn023TsPgbzvrzw_3_7"/>
      <w:bookmarkStart w:id="515" w:name="Tc_25KlFtaW4UqAySnolpFxiQ_3_2"/>
      <w:bookmarkStart w:id="516" w:name="Tc_H1NWYxFckU2Wh2RUqkLeug_2_27"/>
      <w:bookmarkStart w:id="517" w:name="Tc_w2W-_S7bFkid2Tjk7y4sDw_2_22"/>
      <w:bookmarkStart w:id="518" w:name="Tc_B7XTZIBYiUm5JYDuCTysdg_2_17"/>
      <w:bookmarkStart w:id="519" w:name="Tc_v8ZYpd9gEUuhX4ab7JMbEg_2_12"/>
      <w:bookmarkStart w:id="520" w:name="Tc_Z_uGtF8klkOEdzKDYUinrw_2_7"/>
      <w:bookmarkStart w:id="521" w:name="Tc_49S0R8CjKki6me2O5mTRIw_2_2"/>
      <w:bookmarkStart w:id="522" w:name="Tc_SQ5LORCLnk-U3WhL-ApwIw_1_2"/>
      <w:bookmarkStart w:id="523" w:name="_7ba72d9e_a41e_416c_8dac_af82c9c76c8f"/>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tbl>
      <w:tblPr>
        <w:tblW w:w="14286" w:type="dxa"/>
        <w:jc w:val="left"/>
        <w:tblInd w:w="0" w:type="dxa"/>
        <w:tblLayout w:type="fixed"/>
        <w:tblCellMar>
          <w:top w:w="0" w:type="dxa"/>
          <w:left w:w="0" w:type="dxa"/>
          <w:bottom w:w="0" w:type="dxa"/>
          <w:right w:w="0" w:type="dxa"/>
        </w:tblCellMar>
      </w:tblPr>
      <w:tblGrid>
        <w:gridCol w:w="811"/>
        <w:gridCol w:w="226"/>
        <w:gridCol w:w="451"/>
        <w:gridCol w:w="226"/>
        <w:gridCol w:w="170"/>
        <w:gridCol w:w="356"/>
        <w:gridCol w:w="226"/>
        <w:gridCol w:w="451"/>
        <w:gridCol w:w="226"/>
        <w:gridCol w:w="170"/>
        <w:gridCol w:w="356"/>
        <w:gridCol w:w="226"/>
        <w:gridCol w:w="451"/>
        <w:gridCol w:w="226"/>
        <w:gridCol w:w="170"/>
        <w:gridCol w:w="356"/>
        <w:gridCol w:w="286"/>
        <w:gridCol w:w="451"/>
        <w:gridCol w:w="226"/>
        <w:gridCol w:w="170"/>
        <w:gridCol w:w="356"/>
        <w:gridCol w:w="286"/>
        <w:gridCol w:w="451"/>
        <w:gridCol w:w="226"/>
        <w:gridCol w:w="170"/>
        <w:gridCol w:w="356"/>
        <w:gridCol w:w="286"/>
        <w:gridCol w:w="541"/>
        <w:gridCol w:w="226"/>
        <w:gridCol w:w="170"/>
        <w:gridCol w:w="356"/>
        <w:gridCol w:w="286"/>
        <w:gridCol w:w="646"/>
        <w:gridCol w:w="226"/>
        <w:gridCol w:w="170"/>
        <w:gridCol w:w="356"/>
        <w:gridCol w:w="226"/>
        <w:gridCol w:w="166"/>
        <w:gridCol w:w="496"/>
        <w:gridCol w:w="226"/>
        <w:gridCol w:w="186"/>
        <w:gridCol w:w="610"/>
        <w:gridCol w:w="226"/>
        <w:gridCol w:w="208"/>
        <w:gridCol w:w="603"/>
      </w:tblGrid>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3" name="Frame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86385" cy="175260"/>
                      <wp:effectExtent l="0" t="0" r="0" b="0"/>
                      <wp:wrapNone/>
                      <wp:docPr id="24" name="Frame24"/>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3510" cy="175260"/>
                      <wp:effectExtent l="0" t="0" r="0" b="0"/>
                      <wp:wrapNone/>
                      <wp:docPr id="25" name="Frame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07950" cy="175260"/>
                      <wp:effectExtent l="0" t="0" r="0" b="0"/>
                      <wp:wrapNone/>
                      <wp:docPr id="26" name="Frame26"/>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26060" cy="175260"/>
                      <wp:effectExtent l="0" t="0" r="0" b="0"/>
                      <wp:wrapNone/>
                      <wp:docPr id="27" name="Frame27"/>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3510" cy="175260"/>
                      <wp:effectExtent l="0" t="0" r="0" b="0"/>
                      <wp:wrapNone/>
                      <wp:docPr id="28" name="Frame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86385" cy="175260"/>
                      <wp:effectExtent l="0" t="0" r="0" b="0"/>
                      <wp:wrapNone/>
                      <wp:docPr id="29" name="Frame2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3510" cy="175260"/>
                      <wp:effectExtent l="0" t="0" r="0" b="0"/>
                      <wp:wrapNone/>
                      <wp:docPr id="30" name="Frame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07950" cy="175260"/>
                      <wp:effectExtent l="0" t="0" r="0" b="0"/>
                      <wp:wrapNone/>
                      <wp:docPr id="31" name="Frame31"/>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26060" cy="175260"/>
                      <wp:effectExtent l="0" t="0" r="0" b="0"/>
                      <wp:wrapNone/>
                      <wp:docPr id="32" name="Frame3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3510" cy="175260"/>
                      <wp:effectExtent l="0" t="0" r="0" b="0"/>
                      <wp:wrapNone/>
                      <wp:docPr id="33"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86385" cy="175260"/>
                      <wp:effectExtent l="0" t="0" r="0" b="0"/>
                      <wp:wrapNone/>
                      <wp:docPr id="34" name="Frame34"/>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3510" cy="175260"/>
                      <wp:effectExtent l="0" t="0" r="0" b="0"/>
                      <wp:wrapNone/>
                      <wp:docPr id="35" name="Frame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07950" cy="175260"/>
                      <wp:effectExtent l="0" t="0" r="0" b="0"/>
                      <wp:wrapNone/>
                      <wp:docPr id="36" name="Frame36"/>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6060" cy="175260"/>
                      <wp:effectExtent l="0" t="0" r="0" b="0"/>
                      <wp:wrapNone/>
                      <wp:docPr id="37" name="Frame37"/>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81610" cy="175260"/>
                      <wp:effectExtent l="0" t="0" r="0" b="0"/>
                      <wp:wrapNone/>
                      <wp:docPr id="38" name="Frame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86385" cy="175260"/>
                      <wp:effectExtent l="0" t="0" r="0" b="0"/>
                      <wp:wrapNone/>
                      <wp:docPr id="39" name="Frame3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3510" cy="175260"/>
                      <wp:effectExtent l="0" t="0" r="0" b="0"/>
                      <wp:wrapNone/>
                      <wp:docPr id="40" name="Frame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07950" cy="175260"/>
                      <wp:effectExtent l="0" t="0" r="0" b="0"/>
                      <wp:wrapNone/>
                      <wp:docPr id="41" name="Frame41"/>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26060" cy="175260"/>
                      <wp:effectExtent l="0" t="0" r="0" b="0"/>
                      <wp:wrapNone/>
                      <wp:docPr id="42" name="Frame4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81610" cy="175260"/>
                      <wp:effectExtent l="0" t="0" r="0" b="0"/>
                      <wp:wrapNone/>
                      <wp:docPr id="43" name="Frame4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6385" cy="175260"/>
                      <wp:effectExtent l="0" t="0" r="0" b="0"/>
                      <wp:wrapNone/>
                      <wp:docPr id="44" name="Frame44"/>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3510" cy="175260"/>
                      <wp:effectExtent l="0" t="0" r="0" b="0"/>
                      <wp:wrapNone/>
                      <wp:docPr id="45" name="Frame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07950" cy="175260"/>
                      <wp:effectExtent l="0" t="0" r="0" b="0"/>
                      <wp:wrapNone/>
                      <wp:docPr id="46" name="Frame46"/>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26060" cy="175260"/>
                      <wp:effectExtent l="0" t="0" r="0" b="0"/>
                      <wp:wrapNone/>
                      <wp:docPr id="47" name="Frame47"/>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81610" cy="175260"/>
                      <wp:effectExtent l="0" t="0" r="0" b="0"/>
                      <wp:wrapNone/>
                      <wp:docPr id="48" name="Frame4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43535" cy="175260"/>
                      <wp:effectExtent l="0" t="0" r="0" b="0"/>
                      <wp:wrapNone/>
                      <wp:docPr id="49" name="Frame4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3510" cy="175260"/>
                      <wp:effectExtent l="0" t="0" r="0" b="0"/>
                      <wp:wrapNone/>
                      <wp:docPr id="50" name="Frame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07950" cy="175260"/>
                      <wp:effectExtent l="0" t="0" r="0" b="0"/>
                      <wp:wrapNone/>
                      <wp:docPr id="51" name="Frame51"/>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26060" cy="175260"/>
                      <wp:effectExtent l="0" t="0" r="0" b="0"/>
                      <wp:wrapNone/>
                      <wp:docPr id="52" name="Frame5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81610" cy="175260"/>
                      <wp:effectExtent l="0" t="0" r="0" b="0"/>
                      <wp:wrapNone/>
                      <wp:docPr id="53" name="Frame5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10210" cy="175260"/>
                      <wp:effectExtent l="0" t="0" r="0" b="0"/>
                      <wp:wrapNone/>
                      <wp:docPr id="54" name="Frame5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3510" cy="175260"/>
                      <wp:effectExtent l="0" t="0" r="0" b="0"/>
                      <wp:wrapNone/>
                      <wp:docPr id="55" name="Frame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07950" cy="175260"/>
                      <wp:effectExtent l="0" t="0" r="0" b="0"/>
                      <wp:wrapNone/>
                      <wp:docPr id="56" name="Frame56"/>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26060" cy="175260"/>
                      <wp:effectExtent l="0" t="0" r="0" b="0"/>
                      <wp:wrapNone/>
                      <wp:docPr id="57" name="Frame57"/>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510" cy="175260"/>
                      <wp:effectExtent l="0" t="0" r="0" b="0"/>
                      <wp:wrapNone/>
                      <wp:docPr id="58" name="Frame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05410" cy="175260"/>
                      <wp:effectExtent l="0" t="0" r="0" b="0"/>
                      <wp:wrapNone/>
                      <wp:docPr id="59" name="Frame5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14960" cy="175260"/>
                      <wp:effectExtent l="0" t="0" r="0" b="0"/>
                      <wp:wrapNone/>
                      <wp:docPr id="60" name="Frame6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61" name="Frame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8110" cy="175260"/>
                      <wp:effectExtent l="0" t="0" r="0" b="0"/>
                      <wp:wrapNone/>
                      <wp:docPr id="62" name="Frame62"/>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87350" cy="175260"/>
                      <wp:effectExtent l="0" t="0" r="0" b="0"/>
                      <wp:wrapNone/>
                      <wp:docPr id="63" name="Frame63"/>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3510" cy="175260"/>
                      <wp:effectExtent l="0" t="0" r="0" b="0"/>
                      <wp:wrapNone/>
                      <wp:docPr id="64" name="Frame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2080" cy="175260"/>
                      <wp:effectExtent l="0" t="0" r="0" b="0"/>
                      <wp:wrapNone/>
                      <wp:docPr id="65" name="Frame65"/>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82905" cy="175260"/>
                      <wp:effectExtent l="0" t="0" r="0" b="0"/>
                      <wp:wrapNone/>
                      <wp:docPr id="66" name="Frame66"/>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3249" w:type="dxa"/>
            <w:gridSpan w:val="43"/>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June 30, 2026</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E</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F</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G</w:t>
            </w:r>
          </w:p>
        </w:tc>
        <w:tc>
          <w:tcPr>
            <w:tcW w:w="286" w:type="dxa"/>
            <w:tcBorders/>
            <w:vAlign w:val="center"/>
          </w:tcPr>
          <w:p>
            <w:pPr>
              <w:pStyle w:val="TableContents"/>
              <w:bidi w:val="0"/>
              <w:spacing w:lineRule="auto" w:line="285" w:before="0" w:after="1"/>
              <w:ind w:left="0" w:right="0" w:hanging="0"/>
              <w:jc w:val="left"/>
              <w:rPr/>
            </w:pPr>
            <w:r>
              <w:rPr/>
              <w:t>  ​ ​</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H</w:t>
            </w:r>
          </w:p>
        </w:tc>
        <w:tc>
          <w:tcPr>
            <w:tcW w:w="286" w:type="dxa"/>
            <w:tcBorders/>
            <w:vAlign w:val="center"/>
          </w:tcPr>
          <w:p>
            <w:pPr>
              <w:pStyle w:val="TableContents"/>
              <w:bidi w:val="0"/>
              <w:spacing w:lineRule="auto" w:line="285" w:before="0" w:after="1"/>
              <w:ind w:left="0" w:right="0" w:hanging="0"/>
              <w:jc w:val="left"/>
              <w:rPr/>
            </w:pPr>
            <w:r>
              <w:rPr/>
              <w:t>  ​ ​</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AAA</w:t>
            </w:r>
          </w:p>
        </w:tc>
        <w:tc>
          <w:tcPr>
            <w:tcW w:w="286" w:type="dxa"/>
            <w:tcBorders/>
            <w:vAlign w:val="center"/>
          </w:tcPr>
          <w:p>
            <w:pPr>
              <w:pStyle w:val="TableContents"/>
              <w:bidi w:val="0"/>
              <w:spacing w:lineRule="auto" w:line="285" w:before="0" w:after="1"/>
              <w:ind w:left="0" w:right="0" w:hanging="0"/>
              <w:jc w:val="left"/>
              <w:rPr/>
            </w:pPr>
            <w:r>
              <w:rPr/>
              <w:t>  ​ ​</w:t>
            </w:r>
          </w:p>
        </w:tc>
        <w:tc>
          <w:tcPr>
            <w:tcW w:w="129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AA</w:t>
            </w:r>
          </w:p>
        </w:tc>
        <w:tc>
          <w:tcPr>
            <w:tcW w:w="286" w:type="dxa"/>
            <w:tcBorders/>
            <w:vAlign w:val="center"/>
          </w:tcPr>
          <w:p>
            <w:pPr>
              <w:pStyle w:val="TableContents"/>
              <w:bidi w:val="0"/>
              <w:spacing w:lineRule="auto" w:line="285" w:before="0" w:after="1"/>
              <w:ind w:left="0" w:right="0" w:hanging="0"/>
              <w:jc w:val="left"/>
              <w:rPr/>
            </w:pPr>
            <w:r>
              <w:rPr/>
              <w:t>  ​ ​</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9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9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9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398"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226" w:type="dxa"/>
            <w:tcBorders/>
            <w:vAlign w:val="center"/>
          </w:tcPr>
          <w:p>
            <w:pPr>
              <w:pStyle w:val="TableContents"/>
              <w:bidi w:val="0"/>
              <w:spacing w:lineRule="auto" w:line="285" w:before="0" w:after="0"/>
              <w:ind w:left="0" w:right="0" w:hanging="0"/>
              <w:jc w:val="left"/>
              <w:rPr/>
            </w:pPr>
            <w:r>
              <w:rPr/>
              <w:t>​</w:t>
            </w:r>
          </w:p>
        </w:tc>
        <w:tc>
          <w:tcPr>
            <w:tcW w:w="66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81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9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398"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26" w:type="dxa"/>
            <w:tcBorders/>
            <w:vAlign w:val="center"/>
          </w:tcPr>
          <w:p>
            <w:pPr>
              <w:pStyle w:val="TableContents"/>
              <w:bidi w:val="0"/>
              <w:spacing w:lineRule="auto" w:line="285" w:before="0" w:after="0"/>
              <w:ind w:left="0" w:right="0" w:hanging="0"/>
              <w:jc w:val="left"/>
              <w:rPr/>
            </w:pPr>
            <w:r>
              <w:rPr/>
              <w:t>​</w:t>
            </w:r>
          </w:p>
        </w:tc>
        <w:tc>
          <w:tcPr>
            <w:tcW w:w="66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226" w:type="dxa"/>
            <w:tcBorders/>
            <w:vAlign w:val="center"/>
          </w:tcPr>
          <w:p>
            <w:pPr>
              <w:pStyle w:val="TableContents"/>
              <w:bidi w:val="0"/>
              <w:spacing w:lineRule="auto" w:line="285" w:before="0" w:after="0"/>
              <w:ind w:left="0" w:right="0" w:hanging="0"/>
              <w:jc w:val="left"/>
              <w:rPr/>
            </w:pPr>
            <w:r>
              <w:rPr/>
              <w:t>​</w:t>
            </w:r>
          </w:p>
        </w:tc>
        <w:tc>
          <w:tcPr>
            <w:tcW w:w="79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226" w:type="dxa"/>
            <w:tcBorders/>
            <w:vAlign w:val="center"/>
          </w:tcPr>
          <w:p>
            <w:pPr>
              <w:pStyle w:val="TableContents"/>
              <w:bidi w:val="0"/>
              <w:spacing w:lineRule="auto" w:line="285" w:before="0" w:after="0"/>
              <w:ind w:left="0" w:right="0" w:hanging="0"/>
              <w:jc w:val="left"/>
              <w:rPr/>
            </w:pPr>
            <w:r>
              <w:rPr/>
              <w:t>​</w:t>
            </w:r>
          </w:p>
        </w:tc>
        <w:tc>
          <w:tcPr>
            <w:tcW w:w="81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lineRule="auto" w:line="285"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lineRule="auto" w:line="285"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lineRule="auto" w:line="285" w:before="0" w:after="1"/>
              <w:ind w:left="0" w:right="0" w:hanging="0"/>
              <w:jc w:val="left"/>
              <w:rPr/>
            </w:pPr>
            <w:r>
              <w:rPr/>
              <w:t>  ​</w:t>
            </w:r>
          </w:p>
        </w:tc>
        <w:tc>
          <w:tcPr>
            <w:tcW w:w="66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226" w:type="dxa"/>
            <w:tcBorders/>
            <w:vAlign w:val="center"/>
          </w:tcPr>
          <w:p>
            <w:pPr>
              <w:pStyle w:val="TableContents"/>
              <w:bidi w:val="0"/>
              <w:spacing w:lineRule="auto" w:line="285"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226" w:type="dxa"/>
            <w:tcBorders/>
            <w:vAlign w:val="center"/>
          </w:tcPr>
          <w:p>
            <w:pPr>
              <w:pStyle w:val="TableContents"/>
              <w:bidi w:val="0"/>
              <w:spacing w:lineRule="auto" w:line="285"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 xml:space="preserve">Equity </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Balance as of March 31, 2026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681,818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18,589,832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707,262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(696,521)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10,761</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Conversion of Preferred Stock</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(681,818)</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749,999</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1"/>
              <w:ind w:left="0" w:right="0" w:hanging="0"/>
              <w:jc w:val="right"/>
              <w:rPr/>
            </w:pPr>
            <w:r>
              <w:rPr/>
              <w:t>—</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Retired shares</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shd w:fill="CCEEFF" w:val="clear"/>
            <w:vAlign w:val="center"/>
          </w:tcPr>
          <w:p>
            <w:pPr>
              <w:pStyle w:val="TableContents"/>
              <w:bidi w:val="0"/>
              <w:spacing w:lineRule="auto" w:line="285" w:before="0" w:after="0"/>
              <w:ind w:left="0" w:right="0" w:hanging="0"/>
              <w:jc w:val="left"/>
              <w:rPr/>
            </w:pPr>
            <w:r>
              <w:rPr/>
              <w:t>​</w:t>
            </w:r>
          </w:p>
        </w:tc>
        <w:tc>
          <w:tcPr>
            <w:tcW w:w="610"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1"/>
              <w:ind w:left="0" w:right="0" w:hanging="0"/>
              <w:jc w:val="right"/>
              <w:rPr/>
            </w:pPr>
            <w:r>
              <w:rPr/>
              <w:t>—</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 expense</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(136)</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(136)</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(1,581)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(1,581)</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Balance as of June 30, 2026</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19,339,786</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707,126</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(698,102)</w:t>
            </w:r>
          </w:p>
        </w:tc>
        <w:tc>
          <w:tcPr>
            <w:tcW w:w="226" w:type="dxa"/>
            <w:tcBorders/>
            <w:vAlign w:val="center"/>
          </w:tcPr>
          <w:p>
            <w:pPr>
              <w:pStyle w:val="TableContents"/>
              <w:bidi w:val="0"/>
              <w:spacing w:lineRule="auto" w:line="285"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3" w:type="dxa"/>
            <w:tcBorders>
              <w:bottom w:val="double" w:sz="6" w:space="0" w:color="000000"/>
            </w:tcBorders>
            <w:tcMar>
              <w:bottom w:w="28" w:type="dxa"/>
            </w:tcMar>
            <w:vAlign w:val="center"/>
          </w:tcPr>
          <w:p>
            <w:pPr>
              <w:pStyle w:val="TableContents"/>
              <w:bidi w:val="0"/>
              <w:spacing w:lineRule="auto" w:line="285" w:before="0" w:after="1"/>
              <w:ind w:left="0" w:right="45" w:hanging="0"/>
              <w:jc w:val="right"/>
              <w:rPr>
                <w:rFonts w:ascii="Times New Roman;Times;serif" w:hAnsi="Times New Roman;Times;serif"/>
                <w:sz w:val="12"/>
              </w:rPr>
            </w:pPr>
            <w:r>
              <w:rPr>
                <w:rFonts w:ascii="Times New Roman;Times;serif" w:hAnsi="Times New Roman;Times;serif"/>
                <w:sz w:val="12"/>
              </w:rPr>
              <w:t>9,044</w:t>
            </w:r>
          </w:p>
        </w:tc>
      </w:tr>
    </w:tbl>
    <w:p>
      <w:pPr>
        <w:pStyle w:val="TextBody"/>
        <w:bidi w:val="0"/>
        <w:spacing w:lineRule="auto" w:line="285" w:before="0" w:after="240"/>
        <w:ind w:left="0" w:right="0" w:firstLine="720"/>
        <w:jc w:val="center"/>
        <w:rPr/>
      </w:pPr>
      <w:r>
        <w:rPr/>
        <w:t>​</w:t>
      </w:r>
    </w:p>
    <w:p>
      <w:pPr>
        <w:pStyle w:val="Normal"/>
        <w:bidi w:val="0"/>
        <w:spacing w:before="0" w:after="0"/>
        <w:jc w:val="left"/>
        <w:rPr>
          <w:sz w:val="4"/>
          <w:szCs w:val="4"/>
        </w:rPr>
      </w:pPr>
      <w:r>
        <w:rPr>
          <w:sz w:val="4"/>
          <w:szCs w:val="4"/>
        </w:rPr>
      </w:r>
      <w:bookmarkStart w:id="524" w:name="Tc_lFeEHLripkKvoaKKvBnGIQ_14_38"/>
      <w:bookmarkStart w:id="525" w:name="Tc_jCt43u_qW0yg3p3qJJmEkg_14_35"/>
      <w:bookmarkStart w:id="526" w:name="Tc_C_ORAIGk50OWFF70KKUQnA_14_32"/>
      <w:bookmarkStart w:id="527" w:name="Tc_jkFxKw8g-k67XtcgJmjNZw_14_29"/>
      <w:bookmarkStart w:id="528" w:name="Tc_f8i82g-uNUi9ttAfocPzTA_14_25"/>
      <w:bookmarkStart w:id="529" w:name="Tc_YMCvFQSymE6El55xDro70A_14_24"/>
      <w:bookmarkStart w:id="530" w:name="Tc_AuWZnEAtFEGdJB3QMAje4w_14_20"/>
      <w:bookmarkStart w:id="531" w:name="Tc_IOAJ7daZ6EOawmf8AM-OZA_14_19"/>
      <w:bookmarkStart w:id="532" w:name="Tc_izqc-p7YLE6J0O2xvc9wzA_14_15"/>
      <w:bookmarkStart w:id="533" w:name="Tc_8OFjpTD1kUSBexqYFf7yFA_14_14"/>
      <w:bookmarkStart w:id="534" w:name="Tc_q5kgfmodrUW944CPNUvwog_14_10"/>
      <w:bookmarkStart w:id="535" w:name="Tc_2N8EvVWQSk-Ei0GBy6MkBA_14_9"/>
      <w:bookmarkStart w:id="536" w:name="Tc_sVfVdAtTHUyeFE1IMlPF8A_14_5"/>
      <w:bookmarkStart w:id="537" w:name="Tc_UT7uEY-h8kypG9tuuTETeQ_14_4"/>
      <w:bookmarkStart w:id="538" w:name="Tc_Y_Xb6Fvia0-FS8tW7AIjHA_14_0"/>
      <w:bookmarkStart w:id="539" w:name="Tc_AD_21gj1F0aXYHAzi521VQ_13_33"/>
      <w:bookmarkStart w:id="540" w:name="Tc_HNKC0Z2ZYkW0d214L3tb7g_13_30"/>
      <w:bookmarkStart w:id="541" w:name="Tc_6DwVGMQFaU6opt98sJgq7A_13_27"/>
      <w:bookmarkStart w:id="542" w:name="Tc_KeudpabkZEegWR38K3Y-8A_13_25"/>
      <w:bookmarkStart w:id="543" w:name="Tc_Jt18mPHhnESTkFRJ7K_NZA_13_22"/>
      <w:bookmarkStart w:id="544" w:name="Tc_IjAUaySfekWVfI3-tCKsBQ_13_20"/>
      <w:bookmarkStart w:id="545" w:name="Tc_seR9yfffyUuWSm4VgG78Mg_13_17"/>
      <w:bookmarkStart w:id="546" w:name="Tc_ga0EK0WAL0OdvvLoNFvQkA_13_15"/>
      <w:bookmarkStart w:id="547" w:name="Tc_mMGBFYNiOkenGa_XUl6YYA_13_12"/>
      <w:bookmarkStart w:id="548" w:name="Tc_dc2F7U0jYE6SYTV11vpkFw_13_10"/>
      <w:bookmarkStart w:id="549" w:name="Tc_DoZOWQFiUkK3A7sHjIdBWQ_13_7"/>
      <w:bookmarkStart w:id="550" w:name="Tc_mxzBg5kf9kKvFY0U2WR_4g_13_5"/>
      <w:bookmarkStart w:id="551" w:name="Tc_r_FX_0mJ-ES2_bcmsXwvGg_13_2"/>
      <w:bookmarkStart w:id="552" w:name="Tc_1mT4cmVJP0-Xj2Vl8Q1i9w_13_0"/>
      <w:bookmarkStart w:id="553" w:name="Tc_QLyZ7RvF70eWEAehl0al-g_12_36"/>
      <w:bookmarkStart w:id="554" w:name="Tc_QY5WnzEmk0mefLumW4rCeg_12_30"/>
      <w:bookmarkStart w:id="555" w:name="Tc_dNnj6VT9gU2FZATybjld0A_12_27"/>
      <w:bookmarkStart w:id="556" w:name="Tc_ZApgTjM3y0qYr990vLdpKg_12_25"/>
      <w:bookmarkStart w:id="557" w:name="Tc_puBKSR1uzUS3V4UuDWyzCA_12_22"/>
      <w:bookmarkStart w:id="558" w:name="Tc_qE_G8Yd2MEy0LoBbY0-k_A_12_20"/>
      <w:bookmarkStart w:id="559" w:name="Tc_NOPBwepEg0q2Ak_vYrWmzQ_12_17"/>
      <w:bookmarkStart w:id="560" w:name="Tc_Jm-Lnpe6KEmID5qdCqbNNg_12_15"/>
      <w:bookmarkStart w:id="561" w:name="Tc_63kiV3K95Eu7ymnToBTy-g_12_12"/>
      <w:bookmarkStart w:id="562" w:name="Tc__a2le5QAQkC3acPiDKVeWg_12_10"/>
      <w:bookmarkStart w:id="563" w:name="Tc_Io4ErTjCi0WRwkyHPJB_4w_12_7"/>
      <w:bookmarkStart w:id="564" w:name="Tc_q25Gq83mN0S4utSi_r_GrA_12_5"/>
      <w:bookmarkStart w:id="565" w:name="Tc_gFsQgX7AfEuSftKQXJlmZQ_12_2"/>
      <w:bookmarkStart w:id="566" w:name="Tc_VD4nxdBs-UW7Zi8VFngEaQ_12_0"/>
      <w:bookmarkStart w:id="567" w:name="Tc_ASt-bAE2fEStjvjM23toGw_11_39"/>
      <w:bookmarkStart w:id="568" w:name="Tc_hlWkzI4rb02n8QnMD6cogg_11_36"/>
      <w:bookmarkStart w:id="569" w:name="Tc_CsVdRB8jn024a48IYUusEg_11_33"/>
      <w:bookmarkStart w:id="570" w:name="Tc_C133qIb3OkSF3V7W_o9ssg_11_30"/>
      <w:bookmarkStart w:id="571" w:name="Tc_zh0JdnOj9kSI0hLRGE6XRw_11_27"/>
      <w:bookmarkStart w:id="572" w:name="Tc_F0cz7vsLQEqARYOUumq_Gg_11_25"/>
      <w:bookmarkStart w:id="573" w:name="Tc_WlD-WF7FOECTZn3SBI_lBA_11_22"/>
      <w:bookmarkStart w:id="574" w:name="Tc_PfA6lkkL_UOC1MECrNtYIA_11_20"/>
      <w:bookmarkStart w:id="575" w:name="Tc_i5-geWuAgk-8BC-TE9kmdw_11_17"/>
      <w:bookmarkStart w:id="576" w:name="Tc_OguQthYjHk-WbNSev595XQ_11_15"/>
      <w:bookmarkStart w:id="577" w:name="Tc_-WcqhB3yOUOMtVMmDfwavQ_11_12"/>
      <w:bookmarkStart w:id="578" w:name="Tc_VjnQLwLYaEWHUfT5-5E4jw_11_10"/>
      <w:bookmarkStart w:id="579" w:name="Tc_M-f8SCgn202G8NP4YfIkcQ_11_7"/>
      <w:bookmarkStart w:id="580" w:name="Tc_RclYFNfpNUC2_z9vHR35vg_11_5"/>
      <w:bookmarkStart w:id="581" w:name="Tc_BhAY_C8DkUKDthGOnc_F4A_11_2"/>
      <w:bookmarkStart w:id="582" w:name="Tc_Q4C47dlTpUqI6j5_ABPEyg_11_0"/>
      <w:bookmarkStart w:id="583" w:name="Tc_lDH_x0gC4US-Y_q0ba4mDQ_10_36"/>
      <w:bookmarkStart w:id="584" w:name="Tc_YZ0QvBrT2Ue3Z_cFjyvNNA_10_33"/>
      <w:bookmarkStart w:id="585" w:name="Tc_WOrnoJX9P0mSGGzr7rg97A_10_25"/>
      <w:bookmarkStart w:id="586" w:name="Tc_c7LWA0bGwEqrUDV6AMzlzA_10_22"/>
      <w:bookmarkStart w:id="587" w:name="Tc_1WTOD88rl0KmRu2uGudBAg_10_20"/>
      <w:bookmarkStart w:id="588" w:name="Tc_3GGxbdXnNEq9r18MdhYc1w_10_17"/>
      <w:bookmarkStart w:id="589" w:name="Tc_3B8_51rIREiYh5utqFJDvw_10_15"/>
      <w:bookmarkStart w:id="590" w:name="Tc_89WNl_upGEKRY1wSnnLqRQ_10_12"/>
      <w:bookmarkStart w:id="591" w:name="Tc_yHLi_O5aY0mapqev3ceyIg_10_10"/>
      <w:bookmarkStart w:id="592" w:name="Tc_N_2f5TzlBE-6BGhuCY1ulg_10_7"/>
      <w:bookmarkStart w:id="593" w:name="Tc_bedLV59-yEWxo38GFvqQBQ_10_5"/>
      <w:bookmarkStart w:id="594" w:name="Tc_NIqvtvrD70Wu25RRQwcQ5w_10_2"/>
      <w:bookmarkStart w:id="595" w:name="Tc_7r_f36Cl3kmGRnYcc0wi5Q_10_0"/>
      <w:bookmarkStart w:id="596" w:name="Tc__T58okSthUWg571e7GtexQ_9_38"/>
      <w:bookmarkStart w:id="597" w:name="Tc_gtsJnACoNUulqcu-es0akQ_9_35"/>
      <w:bookmarkStart w:id="598" w:name="Tc_rPEbFO9z_0yehQ0rUMBg2g_9_32"/>
      <w:bookmarkStart w:id="599" w:name="Tc_pPp8kKszh0ezF9yOQg4Uyg_9_30"/>
      <w:bookmarkStart w:id="600" w:name="Tc_JJoHI9QkPE-KfR9ZHLATiw_9_29"/>
      <w:bookmarkStart w:id="601" w:name="Tc_jVv65e5CyEqYYNo0fnhBDw_9_25"/>
      <w:bookmarkStart w:id="602" w:name="Tc_G6a4s4qtlUSG-oLXxDSHVw_9_24"/>
      <w:bookmarkStart w:id="603" w:name="Tc_zRzW_xcb7UiioO-GShmJ_w_9_20"/>
      <w:bookmarkStart w:id="604" w:name="Tc_LQk4fGWbIUK75YjzJvCGiQ_9_19"/>
      <w:bookmarkStart w:id="605" w:name="Tc_DhEfZv-D6EW9xzFsMAjQsw_9_15"/>
      <w:bookmarkStart w:id="606" w:name="Tc_lHlS6Du28kyvQmp6vgHcaQ_9_14"/>
      <w:bookmarkStart w:id="607" w:name="Tc_FBiigTNjMkO-CQ-axeF05A_9_10"/>
      <w:bookmarkStart w:id="608" w:name="Tc_TGgCnuU0PE2_KB1iav0M8w_9_9"/>
      <w:bookmarkStart w:id="609" w:name="Tc_6WpXmpFnaUuoCqoFMcf6aA_9_5"/>
      <w:bookmarkStart w:id="610" w:name="Tc_g7jsmygHa0CLP9vCk2ltKg_9_4"/>
      <w:bookmarkStart w:id="611" w:name="Tc_Jx7tLwTbWUSTNrowbFiEOA_9_0"/>
      <w:bookmarkStart w:id="612" w:name="Tc_dFj-BtxsJ02CY_yos4_Z7A_8_38"/>
      <w:bookmarkStart w:id="613" w:name="Tc_HlQcuaG09UKr0CvcNbrr9Q_8_35"/>
      <w:bookmarkStart w:id="614" w:name="Tc_2US4Nks1Y0Setzv8EjZXOQ_8_32"/>
      <w:bookmarkStart w:id="615" w:name="Tc_ea_vTE50uE67GOC2OP9h9g_8_29"/>
      <w:bookmarkStart w:id="616" w:name="Tc_tnrJLgU8P06hhb4xbdZyKQ_8_27"/>
      <w:bookmarkStart w:id="617" w:name="Tc__1JdCfLInEOXGbcf-bbgCg_8_24"/>
      <w:bookmarkStart w:id="618" w:name="Tc_7Xa00C2X40OnhD8bdy3BZw_8_22"/>
      <w:bookmarkStart w:id="619" w:name="Tc_gY2wrDJgcUekCFh8EgsmCw_8_19"/>
      <w:bookmarkStart w:id="620" w:name="Tc_BOdKSGsSWkaEDifrf_ufZw_8_17"/>
      <w:bookmarkStart w:id="621" w:name="Tc_Hd0HUPQMx0-qPwXvouCj6w_8_14"/>
      <w:bookmarkStart w:id="622" w:name="Tc_qWCXhVvxd0GJgtv_9yybxg_8_12"/>
      <w:bookmarkStart w:id="623" w:name="Tc_3iGwlzNi_EKYdkk2bL7HxQ_8_9"/>
      <w:bookmarkStart w:id="624" w:name="Tc_m5S8U33hIkih14Nr4wYnYQ_8_7"/>
      <w:bookmarkStart w:id="625" w:name="Tc_3a9g4RBTJkSh5lj3AU7Vrw_8_4"/>
      <w:bookmarkStart w:id="626" w:name="Tc_DueJ_qQ-mUi89RWw5il1Fg_8_2"/>
      <w:bookmarkStart w:id="627" w:name="Tc_ER8AfsY1IUOZog4WqozreA_7_38"/>
      <w:bookmarkStart w:id="628" w:name="Tc_PDImFks5aU2rf-auSClpsQ_7_35"/>
      <w:bookmarkStart w:id="629" w:name="Tc_IO4u7dhFcUOhrGumhzXO-w_7_32"/>
      <w:bookmarkStart w:id="630" w:name="Tc_DSHHJ14e-0aKlb5_GhRx5Q_7_27"/>
      <w:bookmarkStart w:id="631" w:name="Tc_TIXFWnw2cUSuxB28HbTEkQ_7_22"/>
      <w:bookmarkStart w:id="632" w:name="Tc_Q1IjmZGl80CL-Bglv-mJig_7_17"/>
      <w:bookmarkStart w:id="633" w:name="Tc_h3KmBQtmTU6ECzpr_W36gA_7_12"/>
      <w:bookmarkStart w:id="634" w:name="Tc_moGBxNBZEUyzxJKDEuMYWw_7_7"/>
      <w:bookmarkStart w:id="635" w:name="Tc_nIuc6cIQOEauuBpjxdTk8w_7_2"/>
      <w:bookmarkStart w:id="636" w:name="Tc_F1wgMFyXgkSl-RD_mSIxow_6_38"/>
      <w:bookmarkStart w:id="637" w:name="Tc_IJas_yyhMkm-J5nVAFVk1Q_6_32"/>
      <w:bookmarkStart w:id="638" w:name="Tc_6jmU7mIdpUO6fR19xDfCXw_6_27"/>
      <w:bookmarkStart w:id="639" w:name="Tc_4I5PtTA95kquQNqg9dURkw_6_22"/>
      <w:bookmarkStart w:id="640" w:name="Tc_nq2SKqos80Gke5sA64t56A_6_17"/>
      <w:bookmarkStart w:id="641" w:name="Tc_-BlkOrffcEq_e0QoY337EA_6_12"/>
      <w:bookmarkStart w:id="642" w:name="Tc_NyN9gC3dXU2OC8undT5hPg_6_7"/>
      <w:bookmarkStart w:id="643" w:name="Tc_SzrKzN4M8EGJzs-OhjkcsA_6_2"/>
      <w:bookmarkStart w:id="644" w:name="Tc_cEBkFd3TT0yUN91pLh40fQ_5_22"/>
      <w:bookmarkStart w:id="645" w:name="Tc_ereVl4By1kO2IXhFi6EPhg_5_17"/>
      <w:bookmarkStart w:id="646" w:name="Tc_hVrDJxTLSkykDokvKWlW7w_5_12"/>
      <w:bookmarkStart w:id="647" w:name="Tc_W8GGek7Y4UOiVc-hxG7CpA_5_7"/>
      <w:bookmarkStart w:id="648" w:name="Tc_Qww3Wn3v60m34K6QvO6VIQ_5_2"/>
      <w:bookmarkStart w:id="649" w:name="Tc_9ioWaE3S5EuVpcptqyf-ZQ_4_22"/>
      <w:bookmarkStart w:id="650" w:name="Tc_Y9rbygDAm0OII_9JF-6miw_4_17"/>
      <w:bookmarkStart w:id="651" w:name="Tc_RVLS3zGBpEusN0miLv_OBw_4_12"/>
      <w:bookmarkStart w:id="652" w:name="Tc_81kFT4vvak6IUlCUYBVaDQ_4_7"/>
      <w:bookmarkStart w:id="653" w:name="Tc_wVZqZkW3WkWv5tsYNzTPaA_4_2"/>
      <w:bookmarkStart w:id="654" w:name="Tc_1YYU3lhHKEubBzyucfAohQ_3_22"/>
      <w:bookmarkStart w:id="655" w:name="Tc_fEpiwuuiY0CAPwT07cuVrg_3_17"/>
      <w:bookmarkStart w:id="656" w:name="Tc_0GZYXJ9vgUm2O3yglznifw_3_12"/>
      <w:bookmarkStart w:id="657" w:name="Tc_Xcz4TBdQ2kisrUGwP60WeA_3_7"/>
      <w:bookmarkStart w:id="658" w:name="Tc_IRl42AGIBkCXU25EWVqneQ_3_2"/>
      <w:bookmarkStart w:id="659" w:name="Tc_xzH1xAb1b0yqX6_5FcNCNA_2_2"/>
      <w:bookmarkStart w:id="660" w:name="Tc_KRCPOeMLfkakqPwpJnyzBg_1_2"/>
      <w:bookmarkStart w:id="661" w:name="_72fc2104_9f3d_4922_90f7_900e8beb2d46"/>
      <w:bookmarkStart w:id="662" w:name="Tc_lFeEHLripkKvoaKKvBnGIQ_14_38"/>
      <w:bookmarkStart w:id="663" w:name="Tc_jCt43u_qW0yg3p3qJJmEkg_14_35"/>
      <w:bookmarkStart w:id="664" w:name="Tc_C_ORAIGk50OWFF70KKUQnA_14_32"/>
      <w:bookmarkStart w:id="665" w:name="Tc_jkFxKw8g-k67XtcgJmjNZw_14_29"/>
      <w:bookmarkStart w:id="666" w:name="Tc_f8i82g-uNUi9ttAfocPzTA_14_25"/>
      <w:bookmarkStart w:id="667" w:name="Tc_YMCvFQSymE6El55xDro70A_14_24"/>
      <w:bookmarkStart w:id="668" w:name="Tc_AuWZnEAtFEGdJB3QMAje4w_14_20"/>
      <w:bookmarkStart w:id="669" w:name="Tc_IOAJ7daZ6EOawmf8AM-OZA_14_19"/>
      <w:bookmarkStart w:id="670" w:name="Tc_izqc-p7YLE6J0O2xvc9wzA_14_15"/>
      <w:bookmarkStart w:id="671" w:name="Tc_8OFjpTD1kUSBexqYFf7yFA_14_14"/>
      <w:bookmarkStart w:id="672" w:name="Tc_q5kgfmodrUW944CPNUvwog_14_10"/>
      <w:bookmarkStart w:id="673" w:name="Tc_2N8EvVWQSk-Ei0GBy6MkBA_14_9"/>
      <w:bookmarkStart w:id="674" w:name="Tc_sVfVdAtTHUyeFE1IMlPF8A_14_5"/>
      <w:bookmarkStart w:id="675" w:name="Tc_UT7uEY-h8kypG9tuuTETeQ_14_4"/>
      <w:bookmarkStart w:id="676" w:name="Tc_Y_Xb6Fvia0-FS8tW7AIjHA_14_0"/>
      <w:bookmarkStart w:id="677" w:name="Tc_AD_21gj1F0aXYHAzi521VQ_13_33"/>
      <w:bookmarkStart w:id="678" w:name="Tc_HNKC0Z2ZYkW0d214L3tb7g_13_30"/>
      <w:bookmarkStart w:id="679" w:name="Tc_6DwVGMQFaU6opt98sJgq7A_13_27"/>
      <w:bookmarkStart w:id="680" w:name="Tc_KeudpabkZEegWR38K3Y-8A_13_25"/>
      <w:bookmarkStart w:id="681" w:name="Tc_Jt18mPHhnESTkFRJ7K_NZA_13_22"/>
      <w:bookmarkStart w:id="682" w:name="Tc_IjAUaySfekWVfI3-tCKsBQ_13_20"/>
      <w:bookmarkStart w:id="683" w:name="Tc_seR9yfffyUuWSm4VgG78Mg_13_17"/>
      <w:bookmarkStart w:id="684" w:name="Tc_ga0EK0WAL0OdvvLoNFvQkA_13_15"/>
      <w:bookmarkStart w:id="685" w:name="Tc_mMGBFYNiOkenGa_XUl6YYA_13_12"/>
      <w:bookmarkStart w:id="686" w:name="Tc_dc2F7U0jYE6SYTV11vpkFw_13_10"/>
      <w:bookmarkStart w:id="687" w:name="Tc_DoZOWQFiUkK3A7sHjIdBWQ_13_7"/>
      <w:bookmarkStart w:id="688" w:name="Tc_mxzBg5kf9kKvFY0U2WR_4g_13_5"/>
      <w:bookmarkStart w:id="689" w:name="Tc_r_FX_0mJ-ES2_bcmsXwvGg_13_2"/>
      <w:bookmarkStart w:id="690" w:name="Tc_1mT4cmVJP0-Xj2Vl8Q1i9w_13_0"/>
      <w:bookmarkStart w:id="691" w:name="Tc_QLyZ7RvF70eWEAehl0al-g_12_36"/>
      <w:bookmarkStart w:id="692" w:name="Tc_QY5WnzEmk0mefLumW4rCeg_12_30"/>
      <w:bookmarkStart w:id="693" w:name="Tc_dNnj6VT9gU2FZATybjld0A_12_27"/>
      <w:bookmarkStart w:id="694" w:name="Tc_ZApgTjM3y0qYr990vLdpKg_12_25"/>
      <w:bookmarkStart w:id="695" w:name="Tc_puBKSR1uzUS3V4UuDWyzCA_12_22"/>
      <w:bookmarkStart w:id="696" w:name="Tc_qE_G8Yd2MEy0LoBbY0-k_A_12_20"/>
      <w:bookmarkStart w:id="697" w:name="Tc_NOPBwepEg0q2Ak_vYrWmzQ_12_17"/>
      <w:bookmarkStart w:id="698" w:name="Tc_Jm-Lnpe6KEmID5qdCqbNNg_12_15"/>
      <w:bookmarkStart w:id="699" w:name="Tc_63kiV3K95Eu7ymnToBTy-g_12_12"/>
      <w:bookmarkStart w:id="700" w:name="Tc__a2le5QAQkC3acPiDKVeWg_12_10"/>
      <w:bookmarkStart w:id="701" w:name="Tc_Io4ErTjCi0WRwkyHPJB_4w_12_7"/>
      <w:bookmarkStart w:id="702" w:name="Tc_q25Gq83mN0S4utSi_r_GrA_12_5"/>
      <w:bookmarkStart w:id="703" w:name="Tc_gFsQgX7AfEuSftKQXJlmZQ_12_2"/>
      <w:bookmarkStart w:id="704" w:name="Tc_VD4nxdBs-UW7Zi8VFngEaQ_12_0"/>
      <w:bookmarkStart w:id="705" w:name="Tc_ASt-bAE2fEStjvjM23toGw_11_39"/>
      <w:bookmarkStart w:id="706" w:name="Tc_hlWkzI4rb02n8QnMD6cogg_11_36"/>
      <w:bookmarkStart w:id="707" w:name="Tc_CsVdRB8jn024a48IYUusEg_11_33"/>
      <w:bookmarkStart w:id="708" w:name="Tc_C133qIb3OkSF3V7W_o9ssg_11_30"/>
      <w:bookmarkStart w:id="709" w:name="Tc_zh0JdnOj9kSI0hLRGE6XRw_11_27"/>
      <w:bookmarkStart w:id="710" w:name="Tc_F0cz7vsLQEqARYOUumq_Gg_11_25"/>
      <w:bookmarkStart w:id="711" w:name="Tc_WlD-WF7FOECTZn3SBI_lBA_11_22"/>
      <w:bookmarkStart w:id="712" w:name="Tc_PfA6lkkL_UOC1MECrNtYIA_11_20"/>
      <w:bookmarkStart w:id="713" w:name="Tc_i5-geWuAgk-8BC-TE9kmdw_11_17"/>
      <w:bookmarkStart w:id="714" w:name="Tc_OguQthYjHk-WbNSev595XQ_11_15"/>
      <w:bookmarkStart w:id="715" w:name="Tc_-WcqhB3yOUOMtVMmDfwavQ_11_12"/>
      <w:bookmarkStart w:id="716" w:name="Tc_VjnQLwLYaEWHUfT5-5E4jw_11_10"/>
      <w:bookmarkStart w:id="717" w:name="Tc_M-f8SCgn202G8NP4YfIkcQ_11_7"/>
      <w:bookmarkStart w:id="718" w:name="Tc_RclYFNfpNUC2_z9vHR35vg_11_5"/>
      <w:bookmarkStart w:id="719" w:name="Tc_BhAY_C8DkUKDthGOnc_F4A_11_2"/>
      <w:bookmarkStart w:id="720" w:name="Tc_Q4C47dlTpUqI6j5_ABPEyg_11_0"/>
      <w:bookmarkStart w:id="721" w:name="Tc_lDH_x0gC4US-Y_q0ba4mDQ_10_36"/>
      <w:bookmarkStart w:id="722" w:name="Tc_YZ0QvBrT2Ue3Z_cFjyvNNA_10_33"/>
      <w:bookmarkStart w:id="723" w:name="Tc_WOrnoJX9P0mSGGzr7rg97A_10_25"/>
      <w:bookmarkStart w:id="724" w:name="Tc_c7LWA0bGwEqrUDV6AMzlzA_10_22"/>
      <w:bookmarkStart w:id="725" w:name="Tc_1WTOD88rl0KmRu2uGudBAg_10_20"/>
      <w:bookmarkStart w:id="726" w:name="Tc_3GGxbdXnNEq9r18MdhYc1w_10_17"/>
      <w:bookmarkStart w:id="727" w:name="Tc_3B8_51rIREiYh5utqFJDvw_10_15"/>
      <w:bookmarkStart w:id="728" w:name="Tc_89WNl_upGEKRY1wSnnLqRQ_10_12"/>
      <w:bookmarkStart w:id="729" w:name="Tc_yHLi_O5aY0mapqev3ceyIg_10_10"/>
      <w:bookmarkStart w:id="730" w:name="Tc_N_2f5TzlBE-6BGhuCY1ulg_10_7"/>
      <w:bookmarkStart w:id="731" w:name="Tc_bedLV59-yEWxo38GFvqQBQ_10_5"/>
      <w:bookmarkStart w:id="732" w:name="Tc_NIqvtvrD70Wu25RRQwcQ5w_10_2"/>
      <w:bookmarkStart w:id="733" w:name="Tc_7r_f36Cl3kmGRnYcc0wi5Q_10_0"/>
      <w:bookmarkStart w:id="734" w:name="Tc__T58okSthUWg571e7GtexQ_9_38"/>
      <w:bookmarkStart w:id="735" w:name="Tc_gtsJnACoNUulqcu-es0akQ_9_35"/>
      <w:bookmarkStart w:id="736" w:name="Tc_rPEbFO9z_0yehQ0rUMBg2g_9_32"/>
      <w:bookmarkStart w:id="737" w:name="Tc_pPp8kKszh0ezF9yOQg4Uyg_9_30"/>
      <w:bookmarkStart w:id="738" w:name="Tc_JJoHI9QkPE-KfR9ZHLATiw_9_29"/>
      <w:bookmarkStart w:id="739" w:name="Tc_jVv65e5CyEqYYNo0fnhBDw_9_25"/>
      <w:bookmarkStart w:id="740" w:name="Tc_G6a4s4qtlUSG-oLXxDSHVw_9_24"/>
      <w:bookmarkStart w:id="741" w:name="Tc_zRzW_xcb7UiioO-GShmJ_w_9_20"/>
      <w:bookmarkStart w:id="742" w:name="Tc_LQk4fGWbIUK75YjzJvCGiQ_9_19"/>
      <w:bookmarkStart w:id="743" w:name="Tc_DhEfZv-D6EW9xzFsMAjQsw_9_15"/>
      <w:bookmarkStart w:id="744" w:name="Tc_lHlS6Du28kyvQmp6vgHcaQ_9_14"/>
      <w:bookmarkStart w:id="745" w:name="Tc_FBiigTNjMkO-CQ-axeF05A_9_10"/>
      <w:bookmarkStart w:id="746" w:name="Tc_TGgCnuU0PE2_KB1iav0M8w_9_9"/>
      <w:bookmarkStart w:id="747" w:name="Tc_6WpXmpFnaUuoCqoFMcf6aA_9_5"/>
      <w:bookmarkStart w:id="748" w:name="Tc_g7jsmygHa0CLP9vCk2ltKg_9_4"/>
      <w:bookmarkStart w:id="749" w:name="Tc_Jx7tLwTbWUSTNrowbFiEOA_9_0"/>
      <w:bookmarkStart w:id="750" w:name="Tc_dFj-BtxsJ02CY_yos4_Z7A_8_38"/>
      <w:bookmarkStart w:id="751" w:name="Tc_HlQcuaG09UKr0CvcNbrr9Q_8_35"/>
      <w:bookmarkStart w:id="752" w:name="Tc_2US4Nks1Y0Setzv8EjZXOQ_8_32"/>
      <w:bookmarkStart w:id="753" w:name="Tc_ea_vTE50uE67GOC2OP9h9g_8_29"/>
      <w:bookmarkStart w:id="754" w:name="Tc_tnrJLgU8P06hhb4xbdZyKQ_8_27"/>
      <w:bookmarkStart w:id="755" w:name="Tc__1JdCfLInEOXGbcf-bbgCg_8_24"/>
      <w:bookmarkStart w:id="756" w:name="Tc_7Xa00C2X40OnhD8bdy3BZw_8_22"/>
      <w:bookmarkStart w:id="757" w:name="Tc_gY2wrDJgcUekCFh8EgsmCw_8_19"/>
      <w:bookmarkStart w:id="758" w:name="Tc_BOdKSGsSWkaEDifrf_ufZw_8_17"/>
      <w:bookmarkStart w:id="759" w:name="Tc_Hd0HUPQMx0-qPwXvouCj6w_8_14"/>
      <w:bookmarkStart w:id="760" w:name="Tc_qWCXhVvxd0GJgtv_9yybxg_8_12"/>
      <w:bookmarkStart w:id="761" w:name="Tc_3iGwlzNi_EKYdkk2bL7HxQ_8_9"/>
      <w:bookmarkStart w:id="762" w:name="Tc_m5S8U33hIkih14Nr4wYnYQ_8_7"/>
      <w:bookmarkStart w:id="763" w:name="Tc_3a9g4RBTJkSh5lj3AU7Vrw_8_4"/>
      <w:bookmarkStart w:id="764" w:name="Tc_DueJ_qQ-mUi89RWw5il1Fg_8_2"/>
      <w:bookmarkStart w:id="765" w:name="Tc_ER8AfsY1IUOZog4WqozreA_7_38"/>
      <w:bookmarkStart w:id="766" w:name="Tc_PDImFks5aU2rf-auSClpsQ_7_35"/>
      <w:bookmarkStart w:id="767" w:name="Tc_IO4u7dhFcUOhrGumhzXO-w_7_32"/>
      <w:bookmarkStart w:id="768" w:name="Tc_DSHHJ14e-0aKlb5_GhRx5Q_7_27"/>
      <w:bookmarkStart w:id="769" w:name="Tc_TIXFWnw2cUSuxB28HbTEkQ_7_22"/>
      <w:bookmarkStart w:id="770" w:name="Tc_Q1IjmZGl80CL-Bglv-mJig_7_17"/>
      <w:bookmarkStart w:id="771" w:name="Tc_h3KmBQtmTU6ECzpr_W36gA_7_12"/>
      <w:bookmarkStart w:id="772" w:name="Tc_moGBxNBZEUyzxJKDEuMYWw_7_7"/>
      <w:bookmarkStart w:id="773" w:name="Tc_nIuc6cIQOEauuBpjxdTk8w_7_2"/>
      <w:bookmarkStart w:id="774" w:name="Tc_F1wgMFyXgkSl-RD_mSIxow_6_38"/>
      <w:bookmarkStart w:id="775" w:name="Tc_IJas_yyhMkm-J5nVAFVk1Q_6_32"/>
      <w:bookmarkStart w:id="776" w:name="Tc_6jmU7mIdpUO6fR19xDfCXw_6_27"/>
      <w:bookmarkStart w:id="777" w:name="Tc_4I5PtTA95kquQNqg9dURkw_6_22"/>
      <w:bookmarkStart w:id="778" w:name="Tc_nq2SKqos80Gke5sA64t56A_6_17"/>
      <w:bookmarkStart w:id="779" w:name="Tc_-BlkOrffcEq_e0QoY337EA_6_12"/>
      <w:bookmarkStart w:id="780" w:name="Tc_NyN9gC3dXU2OC8undT5hPg_6_7"/>
      <w:bookmarkStart w:id="781" w:name="Tc_SzrKzN4M8EGJzs-OhjkcsA_6_2"/>
      <w:bookmarkStart w:id="782" w:name="Tc_cEBkFd3TT0yUN91pLh40fQ_5_22"/>
      <w:bookmarkStart w:id="783" w:name="Tc_ereVl4By1kO2IXhFi6EPhg_5_17"/>
      <w:bookmarkStart w:id="784" w:name="Tc_hVrDJxTLSkykDokvKWlW7w_5_12"/>
      <w:bookmarkStart w:id="785" w:name="Tc_W8GGek7Y4UOiVc-hxG7CpA_5_7"/>
      <w:bookmarkStart w:id="786" w:name="Tc_Qww3Wn3v60m34K6QvO6VIQ_5_2"/>
      <w:bookmarkStart w:id="787" w:name="Tc_9ioWaE3S5EuVpcptqyf-ZQ_4_22"/>
      <w:bookmarkStart w:id="788" w:name="Tc_Y9rbygDAm0OII_9JF-6miw_4_17"/>
      <w:bookmarkStart w:id="789" w:name="Tc_RVLS3zGBpEusN0miLv_OBw_4_12"/>
      <w:bookmarkStart w:id="790" w:name="Tc_81kFT4vvak6IUlCUYBVaDQ_4_7"/>
      <w:bookmarkStart w:id="791" w:name="Tc_wVZqZkW3WkWv5tsYNzTPaA_4_2"/>
      <w:bookmarkStart w:id="792" w:name="Tc_1YYU3lhHKEubBzyucfAohQ_3_22"/>
      <w:bookmarkStart w:id="793" w:name="Tc_fEpiwuuiY0CAPwT07cuVrg_3_17"/>
      <w:bookmarkStart w:id="794" w:name="Tc_0GZYXJ9vgUm2O3yglznifw_3_12"/>
      <w:bookmarkStart w:id="795" w:name="Tc_Xcz4TBdQ2kisrUGwP60WeA_3_7"/>
      <w:bookmarkStart w:id="796" w:name="Tc_IRl42AGIBkCXU25EWVqneQ_3_2"/>
      <w:bookmarkStart w:id="797" w:name="Tc_xzH1xAb1b0yqX6_5FcNCNA_2_2"/>
      <w:bookmarkStart w:id="798" w:name="Tc_KRCPOeMLfkakqPwpJnyzBg_1_2"/>
      <w:bookmarkStart w:id="799" w:name="_72fc2104_9f3d_4922_90f7_900e8beb2d46"/>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tbl>
      <w:tblPr>
        <w:tblW w:w="12560" w:type="dxa"/>
        <w:jc w:val="left"/>
        <w:tblInd w:w="0" w:type="dxa"/>
        <w:tblLayout w:type="fixed"/>
        <w:tblCellMar>
          <w:top w:w="0" w:type="dxa"/>
          <w:left w:w="0" w:type="dxa"/>
          <w:bottom w:w="0" w:type="dxa"/>
          <w:right w:w="0" w:type="dxa"/>
        </w:tblCellMar>
      </w:tblPr>
      <w:tblGrid>
        <w:gridCol w:w="811"/>
        <w:gridCol w:w="226"/>
        <w:gridCol w:w="451"/>
        <w:gridCol w:w="226"/>
        <w:gridCol w:w="170"/>
        <w:gridCol w:w="356"/>
        <w:gridCol w:w="286"/>
        <w:gridCol w:w="451"/>
        <w:gridCol w:w="226"/>
        <w:gridCol w:w="170"/>
        <w:gridCol w:w="356"/>
        <w:gridCol w:w="286"/>
        <w:gridCol w:w="451"/>
        <w:gridCol w:w="226"/>
        <w:gridCol w:w="170"/>
        <w:gridCol w:w="356"/>
        <w:gridCol w:w="286"/>
        <w:gridCol w:w="451"/>
        <w:gridCol w:w="226"/>
        <w:gridCol w:w="170"/>
        <w:gridCol w:w="356"/>
        <w:gridCol w:w="286"/>
        <w:gridCol w:w="451"/>
        <w:gridCol w:w="226"/>
        <w:gridCol w:w="170"/>
        <w:gridCol w:w="356"/>
        <w:gridCol w:w="286"/>
        <w:gridCol w:w="496"/>
        <w:gridCol w:w="226"/>
        <w:gridCol w:w="170"/>
        <w:gridCol w:w="356"/>
        <w:gridCol w:w="226"/>
        <w:gridCol w:w="166"/>
        <w:gridCol w:w="496"/>
        <w:gridCol w:w="109"/>
        <w:gridCol w:w="186"/>
        <w:gridCol w:w="610"/>
        <w:gridCol w:w="226"/>
        <w:gridCol w:w="194"/>
        <w:gridCol w:w="617"/>
      </w:tblGrid>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3510" cy="175260"/>
                      <wp:effectExtent l="0" t="0" r="0" b="0"/>
                      <wp:wrapNone/>
                      <wp:docPr id="67" name="Frame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86385" cy="175260"/>
                      <wp:effectExtent l="0" t="0" r="0" b="0"/>
                      <wp:wrapNone/>
                      <wp:docPr id="68" name="Frame6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3510" cy="175260"/>
                      <wp:effectExtent l="0" t="0" r="0" b="0"/>
                      <wp:wrapNone/>
                      <wp:docPr id="69" name="Frame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07950" cy="175260"/>
                      <wp:effectExtent l="0" t="0" r="0" b="0"/>
                      <wp:wrapNone/>
                      <wp:docPr id="70" name="Frame7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6060" cy="175260"/>
                      <wp:effectExtent l="0" t="0" r="0" b="0"/>
                      <wp:wrapNone/>
                      <wp:docPr id="71" name="Frame7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81610" cy="175260"/>
                      <wp:effectExtent l="0" t="0" r="0" b="0"/>
                      <wp:wrapNone/>
                      <wp:docPr id="72" name="Frame7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86385" cy="175260"/>
                      <wp:effectExtent l="0" t="0" r="0" b="0"/>
                      <wp:wrapNone/>
                      <wp:docPr id="73" name="Frame7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3510" cy="175260"/>
                      <wp:effectExtent l="0" t="0" r="0" b="0"/>
                      <wp:wrapNone/>
                      <wp:docPr id="74" name="Frame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07950" cy="175260"/>
                      <wp:effectExtent l="0" t="0" r="0" b="0"/>
                      <wp:wrapNone/>
                      <wp:docPr id="75" name="Frame75"/>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26060" cy="175260"/>
                      <wp:effectExtent l="0" t="0" r="0" b="0"/>
                      <wp:wrapNone/>
                      <wp:docPr id="76" name="Frame7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81610" cy="175260"/>
                      <wp:effectExtent l="0" t="0" r="0" b="0"/>
                      <wp:wrapNone/>
                      <wp:docPr id="77" name="Frame7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86385" cy="175260"/>
                      <wp:effectExtent l="0" t="0" r="0" b="0"/>
                      <wp:wrapNone/>
                      <wp:docPr id="78" name="Frame7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43510" cy="175260"/>
                      <wp:effectExtent l="0" t="0" r="0" b="0"/>
                      <wp:wrapNone/>
                      <wp:docPr id="79" name="Frame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07950" cy="175260"/>
                      <wp:effectExtent l="0" t="0" r="0" b="0"/>
                      <wp:wrapNone/>
                      <wp:docPr id="80" name="Frame8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26060" cy="175260"/>
                      <wp:effectExtent l="0" t="0" r="0" b="0"/>
                      <wp:wrapNone/>
                      <wp:docPr id="81" name="Frame8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1610" cy="175260"/>
                      <wp:effectExtent l="0" t="0" r="0" b="0"/>
                      <wp:wrapNone/>
                      <wp:docPr id="82" name="Frame8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86385" cy="175260"/>
                      <wp:effectExtent l="0" t="0" r="0" b="0"/>
                      <wp:wrapNone/>
                      <wp:docPr id="83" name="Frame8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3510" cy="175260"/>
                      <wp:effectExtent l="0" t="0" r="0" b="0"/>
                      <wp:wrapNone/>
                      <wp:docPr id="84" name="Frame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07950" cy="175260"/>
                      <wp:effectExtent l="0" t="0" r="0" b="0"/>
                      <wp:wrapNone/>
                      <wp:docPr id="85" name="Frame85"/>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26060" cy="175260"/>
                      <wp:effectExtent l="0" t="0" r="0" b="0"/>
                      <wp:wrapNone/>
                      <wp:docPr id="86" name="Frame8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81610" cy="175260"/>
                      <wp:effectExtent l="0" t="0" r="0" b="0"/>
                      <wp:wrapNone/>
                      <wp:docPr id="87" name="Frame8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86385" cy="175260"/>
                      <wp:effectExtent l="0" t="0" r="0" b="0"/>
                      <wp:wrapNone/>
                      <wp:docPr id="88" name="Frame8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3510" cy="175260"/>
                      <wp:effectExtent l="0" t="0" r="0" b="0"/>
                      <wp:wrapNone/>
                      <wp:docPr id="89" name="Frame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07950" cy="175260"/>
                      <wp:effectExtent l="0" t="0" r="0" b="0"/>
                      <wp:wrapNone/>
                      <wp:docPr id="90" name="Frame9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6060" cy="175260"/>
                      <wp:effectExtent l="0" t="0" r="0" b="0"/>
                      <wp:wrapNone/>
                      <wp:docPr id="91" name="Frame9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81610" cy="175260"/>
                      <wp:effectExtent l="0" t="0" r="0" b="0"/>
                      <wp:wrapNone/>
                      <wp:docPr id="92" name="Frame9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14960" cy="175260"/>
                      <wp:effectExtent l="0" t="0" r="0" b="0"/>
                      <wp:wrapNone/>
                      <wp:docPr id="93" name="Frame9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3510" cy="175260"/>
                      <wp:effectExtent l="0" t="0" r="0" b="0"/>
                      <wp:wrapNone/>
                      <wp:docPr id="94" name="Frame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07950" cy="175260"/>
                      <wp:effectExtent l="0" t="0" r="0" b="0"/>
                      <wp:wrapNone/>
                      <wp:docPr id="95" name="Frame95"/>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6060" cy="175260"/>
                      <wp:effectExtent l="0" t="0" r="0" b="0"/>
                      <wp:wrapNone/>
                      <wp:docPr id="96" name="Frame9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3510" cy="175260"/>
                      <wp:effectExtent l="0" t="0" r="0" b="0"/>
                      <wp:wrapNone/>
                      <wp:docPr id="97" name="Frame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05410" cy="175260"/>
                      <wp:effectExtent l="0" t="0" r="0" b="0"/>
                      <wp:wrapNone/>
                      <wp:docPr id="98" name="Frame9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14960" cy="175260"/>
                      <wp:effectExtent l="0" t="0" r="0" b="0"/>
                      <wp:wrapNone/>
                      <wp:docPr id="99" name="Frame9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18110" cy="175260"/>
                      <wp:effectExtent l="0" t="0" r="0" b="0"/>
                      <wp:wrapNone/>
                      <wp:docPr id="101" name="Frame101"/>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87350" cy="175260"/>
                      <wp:effectExtent l="0" t="0" r="0" b="0"/>
                      <wp:wrapNone/>
                      <wp:docPr id="102" name="Frame102"/>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3510" cy="175260"/>
                      <wp:effectExtent l="0" t="0" r="0" b="0"/>
                      <wp:wrapNone/>
                      <wp:docPr id="103" name="Frame10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3190" cy="175260"/>
                      <wp:effectExtent l="0" t="0" r="0" b="0"/>
                      <wp:wrapNone/>
                      <wp:docPr id="104" name="Frame104"/>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91795" cy="175260"/>
                      <wp:effectExtent l="0" t="0" r="0" b="0"/>
                      <wp:wrapNone/>
                      <wp:docPr id="105" name="Frame105"/>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1523" w:type="dxa"/>
            <w:gridSpan w:val="38"/>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June 30, 2025</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1523" w:type="dxa"/>
            <w:gridSpan w:val="3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Stockholders' Equity (Deficit)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E</w:t>
            </w:r>
          </w:p>
        </w:tc>
        <w:tc>
          <w:tcPr>
            <w:tcW w:w="286" w:type="dxa"/>
            <w:tcBorders/>
            <w:vAlign w:val="center"/>
          </w:tcPr>
          <w:p>
            <w:pPr>
              <w:pStyle w:val="TableContents"/>
              <w:bidi w:val="0"/>
              <w:spacing w:lineRule="auto" w:line="285" w:before="0" w:after="1"/>
              <w:ind w:left="0" w:right="0" w:hanging="0"/>
              <w:jc w:val="left"/>
              <w:rPr/>
            </w:pPr>
            <w:r>
              <w:rPr/>
              <w:t>  ​ ​</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F</w:t>
            </w:r>
          </w:p>
        </w:tc>
        <w:tc>
          <w:tcPr>
            <w:tcW w:w="286" w:type="dxa"/>
            <w:tcBorders/>
            <w:vAlign w:val="center"/>
          </w:tcPr>
          <w:p>
            <w:pPr>
              <w:pStyle w:val="TableContents"/>
              <w:bidi w:val="0"/>
              <w:spacing w:lineRule="auto" w:line="285" w:before="0" w:after="1"/>
              <w:ind w:left="0" w:right="0" w:hanging="0"/>
              <w:jc w:val="left"/>
              <w:rPr/>
            </w:pPr>
            <w:r>
              <w:rPr/>
              <w:t>  ​ ​</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G</w:t>
            </w:r>
          </w:p>
        </w:tc>
        <w:tc>
          <w:tcPr>
            <w:tcW w:w="286" w:type="dxa"/>
            <w:tcBorders/>
            <w:vAlign w:val="center"/>
          </w:tcPr>
          <w:p>
            <w:pPr>
              <w:pStyle w:val="TableContents"/>
              <w:bidi w:val="0"/>
              <w:spacing w:lineRule="auto" w:line="285" w:before="0" w:after="1"/>
              <w:ind w:left="0" w:right="0" w:hanging="0"/>
              <w:jc w:val="left"/>
              <w:rPr/>
            </w:pPr>
            <w:r>
              <w:rPr/>
              <w:t>  ​ ​</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H</w:t>
            </w:r>
          </w:p>
        </w:tc>
        <w:tc>
          <w:tcPr>
            <w:tcW w:w="286" w:type="dxa"/>
            <w:tcBorders/>
            <w:vAlign w:val="center"/>
          </w:tcPr>
          <w:p>
            <w:pPr>
              <w:pStyle w:val="TableContents"/>
              <w:bidi w:val="0"/>
              <w:spacing w:lineRule="auto" w:line="285" w:before="0" w:after="1"/>
              <w:ind w:left="0" w:right="0" w:hanging="0"/>
              <w:jc w:val="left"/>
              <w:rPr/>
            </w:pPr>
            <w:r>
              <w:rPr/>
              <w:t>  ​ ​</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H</w:t>
            </w:r>
          </w:p>
        </w:tc>
        <w:tc>
          <w:tcPr>
            <w:tcW w:w="286" w:type="dxa"/>
            <w:tcBorders/>
            <w:vAlign w:val="center"/>
          </w:tcPr>
          <w:p>
            <w:pPr>
              <w:pStyle w:val="TableContents"/>
              <w:bidi w:val="0"/>
              <w:spacing w:lineRule="auto" w:line="285" w:before="0" w:after="1"/>
              <w:ind w:left="0" w:right="0" w:hanging="0"/>
              <w:jc w:val="left"/>
              <w:rPr/>
            </w:pPr>
            <w:r>
              <w:rPr/>
              <w:t>  ​ ​</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17"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17"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17"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48"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226" w:type="dxa"/>
            <w:tcBorders/>
            <w:vAlign w:val="center"/>
          </w:tcPr>
          <w:p>
            <w:pPr>
              <w:pStyle w:val="TableContents"/>
              <w:bidi w:val="0"/>
              <w:spacing w:lineRule="auto" w:line="285" w:before="0" w:after="0"/>
              <w:ind w:left="0" w:right="0" w:hanging="0"/>
              <w:jc w:val="left"/>
              <w:rPr/>
            </w:pPr>
            <w:r>
              <w:rPr/>
              <w:t>​</w:t>
            </w:r>
          </w:p>
        </w:tc>
        <w:tc>
          <w:tcPr>
            <w:tcW w:w="66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109" w:type="dxa"/>
            <w:tcBorders/>
            <w:vAlign w:val="center"/>
          </w:tcPr>
          <w:p>
            <w:pPr>
              <w:pStyle w:val="TableContents"/>
              <w:bidi w:val="0"/>
              <w:spacing w:lineRule="auto" w:line="285" w:before="0" w:after="0"/>
              <w:ind w:left="0" w:right="0" w:hanging="0"/>
              <w:jc w:val="center"/>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81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48"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26" w:type="dxa"/>
            <w:tcBorders/>
            <w:vAlign w:val="center"/>
          </w:tcPr>
          <w:p>
            <w:pPr>
              <w:pStyle w:val="TableContents"/>
              <w:bidi w:val="0"/>
              <w:spacing w:lineRule="auto" w:line="285" w:before="0" w:after="0"/>
              <w:ind w:left="0" w:right="0" w:hanging="0"/>
              <w:jc w:val="left"/>
              <w:rPr/>
            </w:pPr>
            <w:r>
              <w:rPr/>
              <w:t>​</w:t>
            </w:r>
          </w:p>
        </w:tc>
        <w:tc>
          <w:tcPr>
            <w:tcW w:w="66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109" w:type="dxa"/>
            <w:tcBorders/>
            <w:vAlign w:val="center"/>
          </w:tcPr>
          <w:p>
            <w:pPr>
              <w:pStyle w:val="TableContents"/>
              <w:bidi w:val="0"/>
              <w:spacing w:lineRule="auto" w:line="285" w:before="0" w:after="0"/>
              <w:ind w:left="0" w:right="0" w:hanging="0"/>
              <w:jc w:val="center"/>
              <w:rPr/>
            </w:pPr>
            <w:r>
              <w:rPr/>
              <w:t>​</w:t>
            </w:r>
          </w:p>
        </w:tc>
        <w:tc>
          <w:tcPr>
            <w:tcW w:w="79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226" w:type="dxa"/>
            <w:tcBorders/>
            <w:vAlign w:val="center"/>
          </w:tcPr>
          <w:p>
            <w:pPr>
              <w:pStyle w:val="TableContents"/>
              <w:bidi w:val="0"/>
              <w:spacing w:lineRule="auto" w:line="285" w:before="0" w:after="0"/>
              <w:ind w:left="0" w:right="0" w:hanging="0"/>
              <w:jc w:val="left"/>
              <w:rPr/>
            </w:pPr>
            <w:r>
              <w:rPr/>
              <w:t>​</w:t>
            </w:r>
          </w:p>
        </w:tc>
        <w:tc>
          <w:tcPr>
            <w:tcW w:w="81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lineRule="auto" w:line="285" w:before="0" w:after="1"/>
              <w:ind w:left="0" w:right="0" w:hanging="0"/>
              <w:jc w:val="left"/>
              <w:rPr/>
            </w:pPr>
            <w:r>
              <w:rPr/>
              <w:t>  ​</w:t>
            </w:r>
          </w:p>
        </w:tc>
        <w:tc>
          <w:tcPr>
            <w:tcW w:w="66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109" w:type="dxa"/>
            <w:tcBorders/>
            <w:vAlign w:val="center"/>
          </w:tcPr>
          <w:p>
            <w:pPr>
              <w:pStyle w:val="TableContents"/>
              <w:bidi w:val="0"/>
              <w:spacing w:lineRule="auto" w:line="285"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22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Balance as of March 31, 2025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51,246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2,928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10,901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6,409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3,286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129,048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682,575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(676,867)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5,708</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for vested restricted stock units</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4,534</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17"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Exercise of stock options</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shd w:fill="CCEEFF" w:val="clear"/>
            <w:vAlign w:val="center"/>
          </w:tcPr>
          <w:p>
            <w:pPr>
              <w:pStyle w:val="TableContents"/>
              <w:bidi w:val="0"/>
              <w:spacing w:lineRule="auto" w:line="285" w:before="0" w:after="0"/>
              <w:ind w:left="0" w:right="0" w:hanging="0"/>
              <w:jc w:val="left"/>
              <w:rPr/>
            </w:pPr>
            <w:r>
              <w:rPr/>
              <w:t>​</w:t>
            </w:r>
          </w:p>
        </w:tc>
        <w:tc>
          <w:tcPr>
            <w:tcW w:w="610"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c>
          <w:tcPr>
            <w:tcW w:w="617" w:type="dxa"/>
            <w:tcBorders/>
            <w:shd w:fill="CCEEFF" w:val="clear"/>
            <w:vAlign w:val="center"/>
          </w:tcPr>
          <w:p>
            <w:pPr>
              <w:pStyle w:val="TableContents"/>
              <w:bidi w:val="0"/>
              <w:spacing w:lineRule="auto" w:line="285" w:before="0" w:after="1"/>
              <w:ind w:left="0" w:right="0" w:hanging="0"/>
              <w:jc w:val="right"/>
              <w:rPr/>
            </w:pPr>
            <w:r>
              <w:rPr/>
              <w:t>—</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 expense</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2,240</w:t>
            </w:r>
          </w:p>
        </w:tc>
        <w:tc>
          <w:tcPr>
            <w:tcW w:w="109"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17"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2,240</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(11,155)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(11,155)</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Balance as of June 30, 2025</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51,246</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2,928</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10,901</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6,409</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3,286</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133,582</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684,815</w:t>
            </w:r>
          </w:p>
        </w:tc>
        <w:tc>
          <w:tcPr>
            <w:tcW w:w="109" w:type="dxa"/>
            <w:tcBorders/>
            <w:vAlign w:val="center"/>
          </w:tcPr>
          <w:p>
            <w:pPr>
              <w:pStyle w:val="TableContents"/>
              <w:bidi w:val="0"/>
              <w:spacing w:lineRule="auto" w:line="285" w:before="0" w:after="0"/>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(688,022)</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7"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(3,206)</w:t>
            </w:r>
          </w:p>
        </w:tc>
      </w:tr>
    </w:tbl>
    <w:p>
      <w:pPr>
        <w:pStyle w:val="TextBody"/>
        <w:bidi w:val="0"/>
        <w:spacing w:lineRule="auto" w:line="285" w:before="0" w:after="240"/>
        <w:ind w:left="0" w:right="0" w:firstLine="72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center"/>
        <w:rPr/>
      </w:pPr>
      <w:r>
        <w:rPr/>
        <w:t>​</w:t>
      </w:r>
    </w:p>
    <w:p>
      <w:pPr>
        <w:pStyle w:val="Normal"/>
        <w:bidi w:val="0"/>
        <w:spacing w:before="0" w:after="0"/>
        <w:jc w:val="left"/>
        <w:rPr>
          <w:sz w:val="4"/>
          <w:szCs w:val="4"/>
        </w:rPr>
      </w:pPr>
      <w:r>
        <w:rPr>
          <w:sz w:val="4"/>
          <w:szCs w:val="4"/>
        </w:rPr>
      </w:r>
      <w:bookmarkStart w:id="800" w:name="Tc_fgCkXWYKHEKyJRNCG2-jUg_17_43"/>
      <w:bookmarkStart w:id="801" w:name="Tc_9iyMAFPwsEeYW08BUW8AiQ_17_40"/>
      <w:bookmarkStart w:id="802" w:name="Tc_YR_9icW0e0Wm7ehK0yBm0g_17_37"/>
      <w:bookmarkStart w:id="803" w:name="Tc_MiQByYAaU0uZrwyOeKOSSw_17_34"/>
      <w:bookmarkStart w:id="804" w:name="Tc_Rl4DMd5E9Ui_gvmX-Br4cQ_17_30"/>
      <w:bookmarkStart w:id="805" w:name="Tc_0i-_MZhjW0SoFQ_E4sZ8Kg_17_29"/>
      <w:bookmarkStart w:id="806" w:name="Tc_kniprnm2bE6aOIDCZJhICA_17_27"/>
      <w:bookmarkStart w:id="807" w:name="Tc_mRyuZGMjDUeq1FcRTv5bgA_17_25"/>
      <w:bookmarkStart w:id="808" w:name="Tc_6kf7KaolNUSqnZzYDcvXoA_17_24"/>
      <w:bookmarkStart w:id="809" w:name="Tc_nr7yWp_HJ06M-kVKDv1a_g_17_22"/>
      <w:bookmarkStart w:id="810" w:name="Tc_pbf2zGShWU6iXGYZtemBaw_17_20"/>
      <w:bookmarkStart w:id="811" w:name="Tc_ij1E7DA2Ok6MPZHRcO7xFQ_17_19"/>
      <w:bookmarkStart w:id="812" w:name="Tc_UL9yh0wf6k6s_6hTVESOAA_17_17"/>
      <w:bookmarkStart w:id="813" w:name="Tc_TGL9FI3i_kahr7AeL7qi-A_17_15"/>
      <w:bookmarkStart w:id="814" w:name="Tc_sDZV0Uhn0U--dFRJlhOJ5Q_17_14"/>
      <w:bookmarkStart w:id="815" w:name="Tc_QQG42u_w3Ue7jFpjhXZHsw_17_12"/>
      <w:bookmarkStart w:id="816" w:name="Tc_AEYVH-pQpk6LIG9_eQITWw_17_10"/>
      <w:bookmarkStart w:id="817" w:name="Tc_B3-A2P8s_k6D309tWsAO_A_17_9"/>
      <w:bookmarkStart w:id="818" w:name="Tc_KxZHFrj1bkioH7EFUbbuwA_17_7"/>
      <w:bookmarkStart w:id="819" w:name="Tc_OmqWIT5ExUGQjjcHGI7RJA_17_5"/>
      <w:bookmarkStart w:id="820" w:name="Tc_UmnN7cBSw0-8QOpE0Gi1CQ_17_4"/>
      <w:bookmarkStart w:id="821" w:name="Tc_gOtt_7zhLkOb7i8gVu5h6g_17_2"/>
      <w:bookmarkStart w:id="822" w:name="Tc_bG-oNoxYuEWrZI4vtQSwLA_17_0"/>
      <w:bookmarkStart w:id="823" w:name="Tc_XY81MJQEd06aizNn-e37Bg_16_38"/>
      <w:bookmarkStart w:id="824" w:name="Tc_b0I483ymEEmrrd9mRyjj5g_16_35"/>
      <w:bookmarkStart w:id="825" w:name="Tc_CGqOd1v2gEW6ly1tDAdt3Q_16_32"/>
      <w:bookmarkStart w:id="826" w:name="Tc_aqVXlvchgkGfdQoZe59OSg_16_30"/>
      <w:bookmarkStart w:id="827" w:name="Tc_ckz7-kVsuECShxiAoUVnFw_16_27"/>
      <w:bookmarkStart w:id="828" w:name="Tc_khdr2uRV3k-z-3ZoEVGWrQ_16_25"/>
      <w:bookmarkStart w:id="829" w:name="Tc_RQHofSJtP0OUD2cawZzV8Q_16_22"/>
      <w:bookmarkStart w:id="830" w:name="Tc_CgUwfmQNn0uIzTKpEVtJqw_16_20"/>
      <w:bookmarkStart w:id="831" w:name="Tc_NCPe1TsyQ0O0eFzHwBchtQ_16_17"/>
      <w:bookmarkStart w:id="832" w:name="Tc_7l1aWPzPpEOByvH_tkgFHw_16_15"/>
      <w:bookmarkStart w:id="833" w:name="Tc_hHjHkqQA80iFB7puGFN9rg_16_12"/>
      <w:bookmarkStart w:id="834" w:name="Tc_lPC4wTnse0GzStgH3KZPSw_16_10"/>
      <w:bookmarkStart w:id="835" w:name="Tc_QikSRZMiHEuUoUrn3F09vw_16_7"/>
      <w:bookmarkStart w:id="836" w:name="Tc_O1lQHq4860Kn_IQvxCj4UQ_16_5"/>
      <w:bookmarkStart w:id="837" w:name="Tc_ez6JoTOHHUS2gJO0bYnsMA_16_2"/>
      <w:bookmarkStart w:id="838" w:name="Tc_1dKYlBX24UOx6VJ9VugeYw_16_0"/>
      <w:bookmarkStart w:id="839" w:name="Tc_jQpZke38XkmtMkF2bVawUg_15_41"/>
      <w:bookmarkStart w:id="840" w:name="Tc_AJHuMPlx3k2Xte6AtzbBpA_15_35"/>
      <w:bookmarkStart w:id="841" w:name="Tc_WtwEFFCB0UythBQIBIo61A_15_32"/>
      <w:bookmarkStart w:id="842" w:name="Tc_POVhU6DwyUOL2RZWg2kISw_15_30"/>
      <w:bookmarkStart w:id="843" w:name="Tc_eO7f79kGG0SraGF76YVJpA_15_27"/>
      <w:bookmarkStart w:id="844" w:name="Tc_pR_9LdE4RkGNg8cpkzUs6Q_15_25"/>
      <w:bookmarkStart w:id="845" w:name="Tc_I3rzvprVHEaq3xoCP1sWvg_15_22"/>
      <w:bookmarkStart w:id="846" w:name="Tc_SbUsYhiDnUmjmAX_RMn6mQ_15_20"/>
      <w:bookmarkStart w:id="847" w:name="Tc_LMciBi-AnESLOx6_NfYcBQ_15_17"/>
      <w:bookmarkStart w:id="848" w:name="Tc_ZfkjFUVNR0OHmxq_v2gn-A_15_15"/>
      <w:bookmarkStart w:id="849" w:name="Tc_L2CHAiATa0OoJGBP3rVfUQ_15_12"/>
      <w:bookmarkStart w:id="850" w:name="Tc_rAN2J-jzXEC2TdL8wh6GUQ_15_10"/>
      <w:bookmarkStart w:id="851" w:name="Tc_ANlfBbTGyEO8Xds7I7AMBg_15_7"/>
      <w:bookmarkStart w:id="852" w:name="Tc_iOzM_Fetz0CXySNAZA6rMA_15_5"/>
      <w:bookmarkStart w:id="853" w:name="Tc_bQZPNXhIQEurp3kXtVsHEQ_15_2"/>
      <w:bookmarkStart w:id="854" w:name="Tc_XILc22ZHD02p7tF65lcs3A_15_0"/>
      <w:bookmarkStart w:id="855" w:name="Tc_0hd47xZH6E-PoSzX8TIfvQ_14_44"/>
      <w:bookmarkStart w:id="856" w:name="Tc_XafwsbZaI0O3lSpsm7roPw_14_41"/>
      <w:bookmarkStart w:id="857" w:name="Tc_R_C_a_Z4JUuF2V6Hv0ufmw_14_38"/>
      <w:bookmarkStart w:id="858" w:name="Tc_26uN4TTh4kmGFw2h6nzsPQ_14_35"/>
      <w:bookmarkStart w:id="859" w:name="Tc_XSMk0IbyxEuM_7lOog4TPg_14_30"/>
      <w:bookmarkStart w:id="860" w:name="Tc_4VtlQAmg-kqMEfjMOGuDPA_14_27"/>
      <w:bookmarkStart w:id="861" w:name="Tc_E22E65iOEEeDEZtBkcFM1g_14_25"/>
      <w:bookmarkStart w:id="862" w:name="Tc_B6b1-gOULk65GEk4S4DGhQ_14_22"/>
      <w:bookmarkStart w:id="863" w:name="Tc_ydS8h17A20urCufabC8Fjg_14_20"/>
      <w:bookmarkStart w:id="864" w:name="Tc_4v6D2x96JkiMDGUAUQkEfg_14_17"/>
      <w:bookmarkStart w:id="865" w:name="Tc_07Mja1OmYUqWSZoV3V8_1A_14_15"/>
      <w:bookmarkStart w:id="866" w:name="Tc_OPrx_IuIikGpZcHpBqxfgw_14_12"/>
      <w:bookmarkStart w:id="867" w:name="Tc_X6Yid4NtAkm8XZNlpAEfGg_14_10"/>
      <w:bookmarkStart w:id="868" w:name="Tc_GpJHhIOZIkC8TnE5_o9SUQ_14_7"/>
      <w:bookmarkStart w:id="869" w:name="Tc_1aWEQf_nu0GcC0szKa0Tfg_14_5"/>
      <w:bookmarkStart w:id="870" w:name="Tc_tG3rtwAiIEq8FXb88ITxgA_14_2"/>
      <w:bookmarkStart w:id="871" w:name="Tc_9QFXpqzE_Uyb5hAqCht65A_14_0"/>
      <w:bookmarkStart w:id="872" w:name="Tc_DAsbhQP_bk6CTn6sDAjPMQ_13_44"/>
      <w:bookmarkStart w:id="873" w:name="Tc_-VTfnG69UkeDuA2cCLjqIA_13_41"/>
      <w:bookmarkStart w:id="874" w:name="Tc_V8NkyeLY6ECuD66v9s81Tg_13_38"/>
      <w:bookmarkStart w:id="875" w:name="Tc_JW-C9mCnsEGsRL3dkYXBHw_13_35"/>
      <w:bookmarkStart w:id="876" w:name="Tc_aCYpkorwUEOrRKoehqgECQ_13_30"/>
      <w:bookmarkStart w:id="877" w:name="Tc__x1sm2KhakqqcfDQm35aog_13_27"/>
      <w:bookmarkStart w:id="878" w:name="Tc_WRIAOzlrwkymxUGoRN__qw_13_25"/>
      <w:bookmarkStart w:id="879" w:name="Tc_fWnEpyZkBEm_sLlBXeWbLw_13_22"/>
      <w:bookmarkStart w:id="880" w:name="Tc_Pi4F7NcG90y70K1g2yaibw_13_20"/>
      <w:bookmarkStart w:id="881" w:name="Tc_pS5mSIyX8kaDjXQquDpldQ_13_17"/>
      <w:bookmarkStart w:id="882" w:name="Tc_jyzxtkjOq0ivRmbGwO3AMw_13_15"/>
      <w:bookmarkStart w:id="883" w:name="Tc_5qJ16mU_KUqvXhxE6AVHEg_13_12"/>
      <w:bookmarkStart w:id="884" w:name="Tc_Fzpsq_U2dEKNb_3XdOdUAg_13_10"/>
      <w:bookmarkStart w:id="885" w:name="Tc_bgMOogXiZ02Vijn9nRRkTg_13_7"/>
      <w:bookmarkStart w:id="886" w:name="Tc_5PSD1_s_zk2HbPV7yXgEag_13_5"/>
      <w:bookmarkStart w:id="887" w:name="Tc_mlXGu9hDhUKCkF1nvJk2GA_13_2"/>
      <w:bookmarkStart w:id="888" w:name="Tc_JJxPLFOBfkqMJp2tF8iy2g_13_0"/>
      <w:bookmarkStart w:id="889" w:name="Tc_64W8vOvUVEWx-QAqc7wFaQ_12_44"/>
      <w:bookmarkStart w:id="890" w:name="Tc_JiTrNfbMjkegpbpVFaRnzQ_12_41"/>
      <w:bookmarkStart w:id="891" w:name="Tc_SUNPLBtyz0qlpZ0yQ4AVSg_12_38"/>
      <w:bookmarkStart w:id="892" w:name="Tc_8AEovp2PL020S1zCuswheA_12_25"/>
      <w:bookmarkStart w:id="893" w:name="Tc_Ks8nRL1dTEiLw8MI7_DOZg_12_22"/>
      <w:bookmarkStart w:id="894" w:name="Tc_1dVSX5I0TESkLeihu2GIyA_12_20"/>
      <w:bookmarkStart w:id="895" w:name="Tc_IRML3BGcG06U8RSnASfmCQ_12_15"/>
      <w:bookmarkStart w:id="896" w:name="Tc_SrZRrdoozk-EXCZP6--N_w_12_10"/>
      <w:bookmarkStart w:id="897" w:name="Tc_XjQOlCzqLkaFBgGPJem-Hw_12_5"/>
      <w:bookmarkStart w:id="898" w:name="Tc_QqegkObMbEqS9Ogt2NEqEA_12_0"/>
      <w:bookmarkStart w:id="899" w:name="Tc_FiGWzn8Ockyu5uY14kx64w_11_44"/>
      <w:bookmarkStart w:id="900" w:name="Tc_x-vhsns-CUqxdARSWTLfjA_11_41"/>
      <w:bookmarkStart w:id="901" w:name="Tc_tFQ6fzP0dUyRBSC9gSRNag_11_30"/>
      <w:bookmarkStart w:id="902" w:name="Tc_leTk4BcaZEOWXIQvmLhf1Q_11_27"/>
      <w:bookmarkStart w:id="903" w:name="Tc_oNFYTN4Q6ke6DcFczWivog_11_20"/>
      <w:bookmarkStart w:id="904" w:name="Tc_B8H9j8mh9UacbW-mTILVIA_11_17"/>
      <w:bookmarkStart w:id="905" w:name="Tc_HSjpYDTU90e93jMD1yDHWA_11_15"/>
      <w:bookmarkStart w:id="906" w:name="Tc_3UyzT44zG0mX4uPSDGFQ4g_11_12"/>
      <w:bookmarkStart w:id="907" w:name="Tc_mzpzUSbfYk2IRPUzqd76QQ_11_10"/>
      <w:bookmarkStart w:id="908" w:name="Tc_0A6SXvR_cEWkJaO6MfYyhg_11_7"/>
      <w:bookmarkStart w:id="909" w:name="Tc_z-_vKwksHUW2OPas8u71Lg_11_5"/>
      <w:bookmarkStart w:id="910" w:name="Tc_n1nRBdXGwEm6XR-t0yYm8w_11_2"/>
      <w:bookmarkStart w:id="911" w:name="Tc_zKkxAM6c4kahfNgJcfzNfA_11_0"/>
      <w:bookmarkStart w:id="912" w:name="Tc_5vvahz_30EyQ5Ade7LaBIg_10_41"/>
      <w:bookmarkStart w:id="913" w:name="Tc_Nk_F_1KBUUaq3RGEMKvHrQ_10_35"/>
      <w:bookmarkStart w:id="914" w:name="Tc_MPoR2yqrJESkneSbbFU6Xg_10_32"/>
      <w:bookmarkStart w:id="915" w:name="Tc_FunLfWzGUkuwhi5yvfVnfQ_10_30"/>
      <w:bookmarkStart w:id="916" w:name="Tc_zFdVruFGyEeMATrnsdYFOw_10_27"/>
      <w:bookmarkStart w:id="917" w:name="Tc_Ehjv9_v2wkiAtgkSGbzuBQ_10_20"/>
      <w:bookmarkStart w:id="918" w:name="Tc_0cOKk32k80CIAboUDZ0fmA_10_17"/>
      <w:bookmarkStart w:id="919" w:name="Tc_AEb_OwXqQUi_mM5fl3gRnA_10_15"/>
      <w:bookmarkStart w:id="920" w:name="Tc_79b-Dxx6fUmMvzl45int1A_10_12"/>
      <w:bookmarkStart w:id="921" w:name="Tc_Ir4Sh3ICDkmiVIo8qTkumw_10_10"/>
      <w:bookmarkStart w:id="922" w:name="Tc_OH1VrswJy0GGN4deCsI4Ug_10_7"/>
      <w:bookmarkStart w:id="923" w:name="Tc_jrMiIRl7a0-cdx47SbbQqg_10_5"/>
      <w:bookmarkStart w:id="924" w:name="Tc_P21hK0Huh02GnBnpfqj_3Q_10_2"/>
      <w:bookmarkStart w:id="925" w:name="Tc_GDwGqaRQyUuDsjPIhh7CBQ_10_0"/>
      <w:bookmarkStart w:id="926" w:name="Tc_SzAJhppbPkq82keQK6qb0w_9_41"/>
      <w:bookmarkStart w:id="927" w:name="Tc_sQjmHUIar02DEJf3IS6W6A_9_35"/>
      <w:bookmarkStart w:id="928" w:name="Tc_4RiP5xV2mUebGwVtTBBliw_9_30"/>
      <w:bookmarkStart w:id="929" w:name="Tc_zt-M3OH0JE6GLpMKlPBYdA_9_27"/>
      <w:bookmarkStart w:id="930" w:name="Tc_OaGDkUWS1Ey_Bba0AZfeTw_9_25"/>
      <w:bookmarkStart w:id="931" w:name="Tc_Q7GqrPRj3UGadLxIkqqMYw_9_22"/>
      <w:bookmarkStart w:id="932" w:name="Tc_g7IIB-GgpEOBYK9TEae6mQ_9_20"/>
      <w:bookmarkStart w:id="933" w:name="Tc_HvwE77-4Q0yy7wHVvY-txA_9_17"/>
      <w:bookmarkStart w:id="934" w:name="Tc_yPak0sve90a5YQFQwImxCA_9_15"/>
      <w:bookmarkStart w:id="935" w:name="Tc_4z89-ccwKEiWJnW_ixmN2A_9_12"/>
      <w:bookmarkStart w:id="936" w:name="Tc_yyxcmF9RkkSxEavPJ7i_cw_9_10"/>
      <w:bookmarkStart w:id="937" w:name="Tc_arnb8X7eoE6_qaBrAT-cIg_9_7"/>
      <w:bookmarkStart w:id="938" w:name="Tc_QmFnG00170y4eW_4cV_nig_9_5"/>
      <w:bookmarkStart w:id="939" w:name="Tc_b4buXPACOUu2S4FUAi-b4Q_9_2"/>
      <w:bookmarkStart w:id="940" w:name="Tc_jJaQkTS1oUGvH1e-6hytBw_9_0"/>
      <w:bookmarkStart w:id="941" w:name="Tc_STKzbTIlbU2FEn-Qq1woGw_8_43"/>
      <w:bookmarkStart w:id="942" w:name="Tc_ohqSqavcD0WHf-xrDKwk1w_8_37"/>
      <w:bookmarkStart w:id="943" w:name="Tc_V-s8Ozrsc02ohkkXX6rLRg_8_34"/>
      <w:bookmarkStart w:id="944" w:name="Tc_B4jO6QcVDEGBtVoegzcjLg_8_29"/>
      <w:bookmarkStart w:id="945" w:name="Tc_p6-p3snGXEqjHJvef98EeA_8_25"/>
      <w:bookmarkStart w:id="946" w:name="Tc_K_FymgB650Cey0ucGIUyiA_8_24"/>
      <w:bookmarkStart w:id="947" w:name="Tc_jDwEPncJxUm_ULkABOJ2kw_8_22"/>
      <w:bookmarkStart w:id="948" w:name="Tc_F3D4aXHvWEmKsdfvjT-M5A_8_20"/>
      <w:bookmarkStart w:id="949" w:name="Tc_rExG5UvZI0K0IpmDO8dbhQ_8_19"/>
      <w:bookmarkStart w:id="950" w:name="Tc_Kw3nqzJ2QkCmiok0Q-VXRQ_8_15"/>
      <w:bookmarkStart w:id="951" w:name="Tc_ciyeuPmV00C1wlo8BS44QQ_8_14"/>
      <w:bookmarkStart w:id="952" w:name="Tc_Qk5bvydllkyiLdbB6Sfkug_8_10"/>
      <w:bookmarkStart w:id="953" w:name="Tc_mlrU-PETA0uRTS30hyjxwA_8_9"/>
      <w:bookmarkStart w:id="954" w:name="Tc_JxYnZRSKl0ibhRGdmNOdZg_8_5"/>
      <w:bookmarkStart w:id="955" w:name="Tc__ACVp3lsVkKqnPAv7nj5OQ_8_4"/>
      <w:bookmarkStart w:id="956" w:name="Tc_vNoDje9HykeIFOMiBZVOlg_8_0"/>
      <w:bookmarkStart w:id="957" w:name="Tc_-KXfv2YkzE-q68j4gsttsQ_7_43"/>
      <w:bookmarkStart w:id="958" w:name="Tc_ORr87YVPoUCH4hsKD2r21A_7_40"/>
      <w:bookmarkStart w:id="959" w:name="Tc_iWjh9cK55Ei2vrIDdm-ePw_7_37"/>
      <w:bookmarkStart w:id="960" w:name="Tc_b7Qa8iJLZES7ZxIL6ly8xw_7_34"/>
      <w:bookmarkStart w:id="961" w:name="Tc_DXwqnDA10EaZfsxuEK8byw_7_32"/>
      <w:bookmarkStart w:id="962" w:name="Tc_bjagUegTE0aDDkQUs1jevA_7_29"/>
      <w:bookmarkStart w:id="963" w:name="Tc_fybleQhD1UelQoZTO2t0SA_7_27"/>
      <w:bookmarkStart w:id="964" w:name="Tc_uDR2z11zqUe4Fa4a__k6ug_7_24"/>
      <w:bookmarkStart w:id="965" w:name="Tc_likWTWWSo06Oe6qcXSlbxg_7_22"/>
      <w:bookmarkStart w:id="966" w:name="Tc_ZeNGmSv8kkyDEfZ-LF8mlw_7_19"/>
      <w:bookmarkStart w:id="967" w:name="Tc_qvDASG_AB06CJITm9DIsNg_7_17"/>
      <w:bookmarkStart w:id="968" w:name="Tc__H2H3if16kKNIZFJr3Pg7A_7_14"/>
      <w:bookmarkStart w:id="969" w:name="Tc_h82SzAvjDUCMSG-ZLMymYQ_7_12"/>
      <w:bookmarkStart w:id="970" w:name="Tc_cEoqAQTyT0OFbbCfAp_cJQ_7_9"/>
      <w:bookmarkStart w:id="971" w:name="Tc_nc_yZ3_2mECPn_3x2Oed9A_7_7"/>
      <w:bookmarkStart w:id="972" w:name="Tc_5nFoBOMGmkuuiznuqNVEDQ_7_4"/>
      <w:bookmarkStart w:id="973" w:name="Tc_P6fHEMFk0kGbkPOJXjetig_7_2"/>
      <w:bookmarkStart w:id="974" w:name="Tc_ZY_gH-wBUkOIrbNKzpT4Ag_6_43"/>
      <w:bookmarkStart w:id="975" w:name="Tc_buFXE3Eo_kmXECVtgqO2oA_6_40"/>
      <w:bookmarkStart w:id="976" w:name="Tc_9K7NhiXVDkq4M_FWsl22NA_6_37"/>
      <w:bookmarkStart w:id="977" w:name="Tc_zpuNfOzvXEyN7-FiNGfGAQ_6_32"/>
      <w:bookmarkStart w:id="978" w:name="Tc_JR6N7u2ET0eAyMzRsKqtlA_6_27"/>
      <w:bookmarkStart w:id="979" w:name="Tc_yX0W9Mi4V0-XRl9nutHlqw_6_22"/>
      <w:bookmarkStart w:id="980" w:name="Tc_7YWqYQWwTkeZrl0-NQm2HQ_6_17"/>
      <w:bookmarkStart w:id="981" w:name="Tc_CHxPcZqxyEibX9zpZOQK8A_6_12"/>
      <w:bookmarkStart w:id="982" w:name="Tc_Tb4rCUKh7UKQKqsgDN9soQ_6_7"/>
      <w:bookmarkStart w:id="983" w:name="Tc_vuacvv0ZEEezb4F--vV_kw_6_2"/>
      <w:bookmarkStart w:id="984" w:name="Tc_8EEwY7zEZUui4A716BLZgw_5_43"/>
      <w:bookmarkStart w:id="985" w:name="Tc_3BkMlmQmQEOVjBRbrhPLew_5_37"/>
      <w:bookmarkStart w:id="986" w:name="Tc__jdvoaCybEWk4Z5jZX_9UA_5_32"/>
      <w:bookmarkStart w:id="987" w:name="Tc_qvafu8llPEiuPdrBcf2U7w_5_27"/>
      <w:bookmarkStart w:id="988" w:name="Tc_e53CWNbCnEmvh7i6ckErmg_5_22"/>
      <w:bookmarkStart w:id="989" w:name="Tc_sA8flrft_kiDBBxT9HkkXw_5_17"/>
      <w:bookmarkStart w:id="990" w:name="Tc_PWKE8VDiq0GJ82X9YXG2WA_5_12"/>
      <w:bookmarkStart w:id="991" w:name="Tc_1tCMZ7RhWEOIN_UKrJhrtg_5_7"/>
      <w:bookmarkStart w:id="992" w:name="Tc_dDzNO4r2wkmfk1UM4agecg_5_2"/>
      <w:bookmarkStart w:id="993" w:name="Tc_4ouWXLNLeEel-GCXLnUKLA_4_27"/>
      <w:bookmarkStart w:id="994" w:name="Tc_bt51mJrkJUC3x7f5elhBxw_4_22"/>
      <w:bookmarkStart w:id="995" w:name="Tc_6fm_pekUYkyYCLyPZgsNxA_4_17"/>
      <w:bookmarkStart w:id="996" w:name="Tc_BCM1biTE_UCUpsy4XnDUBg_4_12"/>
      <w:bookmarkStart w:id="997" w:name="Tc_Ol4i-WSh9E-VhxZ2Hf1TOw_4_7"/>
      <w:bookmarkStart w:id="998" w:name="Tc_JLrjkv82mUKlsPMGB0hjzQ_4_2"/>
      <w:bookmarkStart w:id="999" w:name="Tc_UYryT3OcTUa6lWnr_OcwAQ_3_27"/>
      <w:bookmarkStart w:id="1000" w:name="Tc_MLPhzAbbvkGQTNKqy8aU_Q_3_22"/>
      <w:bookmarkStart w:id="1001" w:name="Tc_vmFdeqF_-0GXMYvAwE66uA_3_17"/>
      <w:bookmarkStart w:id="1002" w:name="Tc_pzf9hPhNn0CsAgD5OxquKQ_3_12"/>
      <w:bookmarkStart w:id="1003" w:name="Tc_G7nII3W7M0KE9rKd0qaLXQ_3_7"/>
      <w:bookmarkStart w:id="1004" w:name="Tc_3u7EPLrTuUyAFQgAZaN7bQ_3_2"/>
      <w:bookmarkStart w:id="1005" w:name="Tc_rwQOcQKbQkaWjIEQ6T0uQQ_2_27"/>
      <w:bookmarkStart w:id="1006" w:name="Tc__fumm8Vz3EKts_NBhZMEAA_2_22"/>
      <w:bookmarkStart w:id="1007" w:name="Tc_j6AUjXwoxkmZVG2ZNtMhnA_2_17"/>
      <w:bookmarkStart w:id="1008" w:name="Tc_C6uONNCIPEKQSxcQXH8lWw_2_12"/>
      <w:bookmarkStart w:id="1009" w:name="Tc_stSTzCaVpU2svIyBj4A1IA_2_7"/>
      <w:bookmarkStart w:id="1010" w:name="Tc_bFcUkW4C20qCW7KleebhcQ_2_2"/>
      <w:bookmarkStart w:id="1011" w:name="Tc_3OKlLZv-pU6bJmN9pu1nwg_1_2"/>
      <w:bookmarkStart w:id="1012" w:name="_5813ebeb_41e3_4fc8_9817_ea7feb73fd1f"/>
      <w:bookmarkStart w:id="1013" w:name="Tc_fgCkXWYKHEKyJRNCG2-jUg_17_43"/>
      <w:bookmarkStart w:id="1014" w:name="Tc_9iyMAFPwsEeYW08BUW8AiQ_17_40"/>
      <w:bookmarkStart w:id="1015" w:name="Tc_YR_9icW0e0Wm7ehK0yBm0g_17_37"/>
      <w:bookmarkStart w:id="1016" w:name="Tc_MiQByYAaU0uZrwyOeKOSSw_17_34"/>
      <w:bookmarkStart w:id="1017" w:name="Tc_Rl4DMd5E9Ui_gvmX-Br4cQ_17_30"/>
      <w:bookmarkStart w:id="1018" w:name="Tc_0i-_MZhjW0SoFQ_E4sZ8Kg_17_29"/>
      <w:bookmarkStart w:id="1019" w:name="Tc_kniprnm2bE6aOIDCZJhICA_17_27"/>
      <w:bookmarkStart w:id="1020" w:name="Tc_mRyuZGMjDUeq1FcRTv5bgA_17_25"/>
      <w:bookmarkStart w:id="1021" w:name="Tc_6kf7KaolNUSqnZzYDcvXoA_17_24"/>
      <w:bookmarkStart w:id="1022" w:name="Tc_nr7yWp_HJ06M-kVKDv1a_g_17_22"/>
      <w:bookmarkStart w:id="1023" w:name="Tc_pbf2zGShWU6iXGYZtemBaw_17_20"/>
      <w:bookmarkStart w:id="1024" w:name="Tc_ij1E7DA2Ok6MPZHRcO7xFQ_17_19"/>
      <w:bookmarkStart w:id="1025" w:name="Tc_UL9yh0wf6k6s_6hTVESOAA_17_17"/>
      <w:bookmarkStart w:id="1026" w:name="Tc_TGL9FI3i_kahr7AeL7qi-A_17_15"/>
      <w:bookmarkStart w:id="1027" w:name="Tc_sDZV0Uhn0U--dFRJlhOJ5Q_17_14"/>
      <w:bookmarkStart w:id="1028" w:name="Tc_QQG42u_w3Ue7jFpjhXZHsw_17_12"/>
      <w:bookmarkStart w:id="1029" w:name="Tc_AEYVH-pQpk6LIG9_eQITWw_17_10"/>
      <w:bookmarkStart w:id="1030" w:name="Tc_B3-A2P8s_k6D309tWsAO_A_17_9"/>
      <w:bookmarkStart w:id="1031" w:name="Tc_KxZHFrj1bkioH7EFUbbuwA_17_7"/>
      <w:bookmarkStart w:id="1032" w:name="Tc_OmqWIT5ExUGQjjcHGI7RJA_17_5"/>
      <w:bookmarkStart w:id="1033" w:name="Tc_UmnN7cBSw0-8QOpE0Gi1CQ_17_4"/>
      <w:bookmarkStart w:id="1034" w:name="Tc_gOtt_7zhLkOb7i8gVu5h6g_17_2"/>
      <w:bookmarkStart w:id="1035" w:name="Tc_bG-oNoxYuEWrZI4vtQSwLA_17_0"/>
      <w:bookmarkStart w:id="1036" w:name="Tc_XY81MJQEd06aizNn-e37Bg_16_38"/>
      <w:bookmarkStart w:id="1037" w:name="Tc_b0I483ymEEmrrd9mRyjj5g_16_35"/>
      <w:bookmarkStart w:id="1038" w:name="Tc_CGqOd1v2gEW6ly1tDAdt3Q_16_32"/>
      <w:bookmarkStart w:id="1039" w:name="Tc_aqVXlvchgkGfdQoZe59OSg_16_30"/>
      <w:bookmarkStart w:id="1040" w:name="Tc_ckz7-kVsuECShxiAoUVnFw_16_27"/>
      <w:bookmarkStart w:id="1041" w:name="Tc_khdr2uRV3k-z-3ZoEVGWrQ_16_25"/>
      <w:bookmarkStart w:id="1042" w:name="Tc_RQHofSJtP0OUD2cawZzV8Q_16_22"/>
      <w:bookmarkStart w:id="1043" w:name="Tc_CgUwfmQNn0uIzTKpEVtJqw_16_20"/>
      <w:bookmarkStart w:id="1044" w:name="Tc_NCPe1TsyQ0O0eFzHwBchtQ_16_17"/>
      <w:bookmarkStart w:id="1045" w:name="Tc_7l1aWPzPpEOByvH_tkgFHw_16_15"/>
      <w:bookmarkStart w:id="1046" w:name="Tc_hHjHkqQA80iFB7puGFN9rg_16_12"/>
      <w:bookmarkStart w:id="1047" w:name="Tc_lPC4wTnse0GzStgH3KZPSw_16_10"/>
      <w:bookmarkStart w:id="1048" w:name="Tc_QikSRZMiHEuUoUrn3F09vw_16_7"/>
      <w:bookmarkStart w:id="1049" w:name="Tc_O1lQHq4860Kn_IQvxCj4UQ_16_5"/>
      <w:bookmarkStart w:id="1050" w:name="Tc_ez6JoTOHHUS2gJO0bYnsMA_16_2"/>
      <w:bookmarkStart w:id="1051" w:name="Tc_1dKYlBX24UOx6VJ9VugeYw_16_0"/>
      <w:bookmarkStart w:id="1052" w:name="Tc_jQpZke38XkmtMkF2bVawUg_15_41"/>
      <w:bookmarkStart w:id="1053" w:name="Tc_AJHuMPlx3k2Xte6AtzbBpA_15_35"/>
      <w:bookmarkStart w:id="1054" w:name="Tc_WtwEFFCB0UythBQIBIo61A_15_32"/>
      <w:bookmarkStart w:id="1055" w:name="Tc_POVhU6DwyUOL2RZWg2kISw_15_30"/>
      <w:bookmarkStart w:id="1056" w:name="Tc_eO7f79kGG0SraGF76YVJpA_15_27"/>
      <w:bookmarkStart w:id="1057" w:name="Tc_pR_9LdE4RkGNg8cpkzUs6Q_15_25"/>
      <w:bookmarkStart w:id="1058" w:name="Tc_I3rzvprVHEaq3xoCP1sWvg_15_22"/>
      <w:bookmarkStart w:id="1059" w:name="Tc_SbUsYhiDnUmjmAX_RMn6mQ_15_20"/>
      <w:bookmarkStart w:id="1060" w:name="Tc_LMciBi-AnESLOx6_NfYcBQ_15_17"/>
      <w:bookmarkStart w:id="1061" w:name="Tc_ZfkjFUVNR0OHmxq_v2gn-A_15_15"/>
      <w:bookmarkStart w:id="1062" w:name="Tc_L2CHAiATa0OoJGBP3rVfUQ_15_12"/>
      <w:bookmarkStart w:id="1063" w:name="Tc_rAN2J-jzXEC2TdL8wh6GUQ_15_10"/>
      <w:bookmarkStart w:id="1064" w:name="Tc_ANlfBbTGyEO8Xds7I7AMBg_15_7"/>
      <w:bookmarkStart w:id="1065" w:name="Tc_iOzM_Fetz0CXySNAZA6rMA_15_5"/>
      <w:bookmarkStart w:id="1066" w:name="Tc_bQZPNXhIQEurp3kXtVsHEQ_15_2"/>
      <w:bookmarkStart w:id="1067" w:name="Tc_XILc22ZHD02p7tF65lcs3A_15_0"/>
      <w:bookmarkStart w:id="1068" w:name="Tc_0hd47xZH6E-PoSzX8TIfvQ_14_44"/>
      <w:bookmarkStart w:id="1069" w:name="Tc_XafwsbZaI0O3lSpsm7roPw_14_41"/>
      <w:bookmarkStart w:id="1070" w:name="Tc_R_C_a_Z4JUuF2V6Hv0ufmw_14_38"/>
      <w:bookmarkStart w:id="1071" w:name="Tc_26uN4TTh4kmGFw2h6nzsPQ_14_35"/>
      <w:bookmarkStart w:id="1072" w:name="Tc_XSMk0IbyxEuM_7lOog4TPg_14_30"/>
      <w:bookmarkStart w:id="1073" w:name="Tc_4VtlQAmg-kqMEfjMOGuDPA_14_27"/>
      <w:bookmarkStart w:id="1074" w:name="Tc_E22E65iOEEeDEZtBkcFM1g_14_25"/>
      <w:bookmarkStart w:id="1075" w:name="Tc_B6b1-gOULk65GEk4S4DGhQ_14_22"/>
      <w:bookmarkStart w:id="1076" w:name="Tc_ydS8h17A20urCufabC8Fjg_14_20"/>
      <w:bookmarkStart w:id="1077" w:name="Tc_4v6D2x96JkiMDGUAUQkEfg_14_17"/>
      <w:bookmarkStart w:id="1078" w:name="Tc_07Mja1OmYUqWSZoV3V8_1A_14_15"/>
      <w:bookmarkStart w:id="1079" w:name="Tc_OPrx_IuIikGpZcHpBqxfgw_14_12"/>
      <w:bookmarkStart w:id="1080" w:name="Tc_X6Yid4NtAkm8XZNlpAEfGg_14_10"/>
      <w:bookmarkStart w:id="1081" w:name="Tc_GpJHhIOZIkC8TnE5_o9SUQ_14_7"/>
      <w:bookmarkStart w:id="1082" w:name="Tc_1aWEQf_nu0GcC0szKa0Tfg_14_5"/>
      <w:bookmarkStart w:id="1083" w:name="Tc_tG3rtwAiIEq8FXb88ITxgA_14_2"/>
      <w:bookmarkStart w:id="1084" w:name="Tc_9QFXpqzE_Uyb5hAqCht65A_14_0"/>
      <w:bookmarkStart w:id="1085" w:name="Tc_DAsbhQP_bk6CTn6sDAjPMQ_13_44"/>
      <w:bookmarkStart w:id="1086" w:name="Tc_-VTfnG69UkeDuA2cCLjqIA_13_41"/>
      <w:bookmarkStart w:id="1087" w:name="Tc_V8NkyeLY6ECuD66v9s81Tg_13_38"/>
      <w:bookmarkStart w:id="1088" w:name="Tc_JW-C9mCnsEGsRL3dkYXBHw_13_35"/>
      <w:bookmarkStart w:id="1089" w:name="Tc_aCYpkorwUEOrRKoehqgECQ_13_30"/>
      <w:bookmarkStart w:id="1090" w:name="Tc__x1sm2KhakqqcfDQm35aog_13_27"/>
      <w:bookmarkStart w:id="1091" w:name="Tc_WRIAOzlrwkymxUGoRN__qw_13_25"/>
      <w:bookmarkStart w:id="1092" w:name="Tc_fWnEpyZkBEm_sLlBXeWbLw_13_22"/>
      <w:bookmarkStart w:id="1093" w:name="Tc_Pi4F7NcG90y70K1g2yaibw_13_20"/>
      <w:bookmarkStart w:id="1094" w:name="Tc_pS5mSIyX8kaDjXQquDpldQ_13_17"/>
      <w:bookmarkStart w:id="1095" w:name="Tc_jyzxtkjOq0ivRmbGwO3AMw_13_15"/>
      <w:bookmarkStart w:id="1096" w:name="Tc_5qJ16mU_KUqvXhxE6AVHEg_13_12"/>
      <w:bookmarkStart w:id="1097" w:name="Tc_Fzpsq_U2dEKNb_3XdOdUAg_13_10"/>
      <w:bookmarkStart w:id="1098" w:name="Tc_bgMOogXiZ02Vijn9nRRkTg_13_7"/>
      <w:bookmarkStart w:id="1099" w:name="Tc_5PSD1_s_zk2HbPV7yXgEag_13_5"/>
      <w:bookmarkStart w:id="1100" w:name="Tc_mlXGu9hDhUKCkF1nvJk2GA_13_2"/>
      <w:bookmarkStart w:id="1101" w:name="Tc_JJxPLFOBfkqMJp2tF8iy2g_13_0"/>
      <w:bookmarkStart w:id="1102" w:name="Tc_64W8vOvUVEWx-QAqc7wFaQ_12_44"/>
      <w:bookmarkStart w:id="1103" w:name="Tc_JiTrNfbMjkegpbpVFaRnzQ_12_41"/>
      <w:bookmarkStart w:id="1104" w:name="Tc_SUNPLBtyz0qlpZ0yQ4AVSg_12_38"/>
      <w:bookmarkStart w:id="1105" w:name="Tc_8AEovp2PL020S1zCuswheA_12_25"/>
      <w:bookmarkStart w:id="1106" w:name="Tc_Ks8nRL1dTEiLw8MI7_DOZg_12_22"/>
      <w:bookmarkStart w:id="1107" w:name="Tc_1dVSX5I0TESkLeihu2GIyA_12_20"/>
      <w:bookmarkStart w:id="1108" w:name="Tc_IRML3BGcG06U8RSnASfmCQ_12_15"/>
      <w:bookmarkStart w:id="1109" w:name="Tc_SrZRrdoozk-EXCZP6--N_w_12_10"/>
      <w:bookmarkStart w:id="1110" w:name="Tc_XjQOlCzqLkaFBgGPJem-Hw_12_5"/>
      <w:bookmarkStart w:id="1111" w:name="Tc_QqegkObMbEqS9Ogt2NEqEA_12_0"/>
      <w:bookmarkStart w:id="1112" w:name="Tc_FiGWzn8Ockyu5uY14kx64w_11_44"/>
      <w:bookmarkStart w:id="1113" w:name="Tc_x-vhsns-CUqxdARSWTLfjA_11_41"/>
      <w:bookmarkStart w:id="1114" w:name="Tc_tFQ6fzP0dUyRBSC9gSRNag_11_30"/>
      <w:bookmarkStart w:id="1115" w:name="Tc_leTk4BcaZEOWXIQvmLhf1Q_11_27"/>
      <w:bookmarkStart w:id="1116" w:name="Tc_oNFYTN4Q6ke6DcFczWivog_11_20"/>
      <w:bookmarkStart w:id="1117" w:name="Tc_B8H9j8mh9UacbW-mTILVIA_11_17"/>
      <w:bookmarkStart w:id="1118" w:name="Tc_HSjpYDTU90e93jMD1yDHWA_11_15"/>
      <w:bookmarkStart w:id="1119" w:name="Tc_3UyzT44zG0mX4uPSDGFQ4g_11_12"/>
      <w:bookmarkStart w:id="1120" w:name="Tc_mzpzUSbfYk2IRPUzqd76QQ_11_10"/>
      <w:bookmarkStart w:id="1121" w:name="Tc_0A6SXvR_cEWkJaO6MfYyhg_11_7"/>
      <w:bookmarkStart w:id="1122" w:name="Tc_z-_vKwksHUW2OPas8u71Lg_11_5"/>
      <w:bookmarkStart w:id="1123" w:name="Tc_n1nRBdXGwEm6XR-t0yYm8w_11_2"/>
      <w:bookmarkStart w:id="1124" w:name="Tc_zKkxAM6c4kahfNgJcfzNfA_11_0"/>
      <w:bookmarkStart w:id="1125" w:name="Tc_5vvahz_30EyQ5Ade7LaBIg_10_41"/>
      <w:bookmarkStart w:id="1126" w:name="Tc_Nk_F_1KBUUaq3RGEMKvHrQ_10_35"/>
      <w:bookmarkStart w:id="1127" w:name="Tc_MPoR2yqrJESkneSbbFU6Xg_10_32"/>
      <w:bookmarkStart w:id="1128" w:name="Tc_FunLfWzGUkuwhi5yvfVnfQ_10_30"/>
      <w:bookmarkStart w:id="1129" w:name="Tc_zFdVruFGyEeMATrnsdYFOw_10_27"/>
      <w:bookmarkStart w:id="1130" w:name="Tc_Ehjv9_v2wkiAtgkSGbzuBQ_10_20"/>
      <w:bookmarkStart w:id="1131" w:name="Tc_0cOKk32k80CIAboUDZ0fmA_10_17"/>
      <w:bookmarkStart w:id="1132" w:name="Tc_AEb_OwXqQUi_mM5fl3gRnA_10_15"/>
      <w:bookmarkStart w:id="1133" w:name="Tc_79b-Dxx6fUmMvzl45int1A_10_12"/>
      <w:bookmarkStart w:id="1134" w:name="Tc_Ir4Sh3ICDkmiVIo8qTkumw_10_10"/>
      <w:bookmarkStart w:id="1135" w:name="Tc_OH1VrswJy0GGN4deCsI4Ug_10_7"/>
      <w:bookmarkStart w:id="1136" w:name="Tc_jrMiIRl7a0-cdx47SbbQqg_10_5"/>
      <w:bookmarkStart w:id="1137" w:name="Tc_P21hK0Huh02GnBnpfqj_3Q_10_2"/>
      <w:bookmarkStart w:id="1138" w:name="Tc_GDwGqaRQyUuDsjPIhh7CBQ_10_0"/>
      <w:bookmarkStart w:id="1139" w:name="Tc_SzAJhppbPkq82keQK6qb0w_9_41"/>
      <w:bookmarkStart w:id="1140" w:name="Tc_sQjmHUIar02DEJf3IS6W6A_9_35"/>
      <w:bookmarkStart w:id="1141" w:name="Tc_4RiP5xV2mUebGwVtTBBliw_9_30"/>
      <w:bookmarkStart w:id="1142" w:name="Tc_zt-M3OH0JE6GLpMKlPBYdA_9_27"/>
      <w:bookmarkStart w:id="1143" w:name="Tc_OaGDkUWS1Ey_Bba0AZfeTw_9_25"/>
      <w:bookmarkStart w:id="1144" w:name="Tc_Q7GqrPRj3UGadLxIkqqMYw_9_22"/>
      <w:bookmarkStart w:id="1145" w:name="Tc_g7IIB-GgpEOBYK9TEae6mQ_9_20"/>
      <w:bookmarkStart w:id="1146" w:name="Tc_HvwE77-4Q0yy7wHVvY-txA_9_17"/>
      <w:bookmarkStart w:id="1147" w:name="Tc_yPak0sve90a5YQFQwImxCA_9_15"/>
      <w:bookmarkStart w:id="1148" w:name="Tc_4z89-ccwKEiWJnW_ixmN2A_9_12"/>
      <w:bookmarkStart w:id="1149" w:name="Tc_yyxcmF9RkkSxEavPJ7i_cw_9_10"/>
      <w:bookmarkStart w:id="1150" w:name="Tc_arnb8X7eoE6_qaBrAT-cIg_9_7"/>
      <w:bookmarkStart w:id="1151" w:name="Tc_QmFnG00170y4eW_4cV_nig_9_5"/>
      <w:bookmarkStart w:id="1152" w:name="Tc_b4buXPACOUu2S4FUAi-b4Q_9_2"/>
      <w:bookmarkStart w:id="1153" w:name="Tc_jJaQkTS1oUGvH1e-6hytBw_9_0"/>
      <w:bookmarkStart w:id="1154" w:name="Tc_STKzbTIlbU2FEn-Qq1woGw_8_43"/>
      <w:bookmarkStart w:id="1155" w:name="Tc_ohqSqavcD0WHf-xrDKwk1w_8_37"/>
      <w:bookmarkStart w:id="1156" w:name="Tc_V-s8Ozrsc02ohkkXX6rLRg_8_34"/>
      <w:bookmarkStart w:id="1157" w:name="Tc_B4jO6QcVDEGBtVoegzcjLg_8_29"/>
      <w:bookmarkStart w:id="1158" w:name="Tc_p6-p3snGXEqjHJvef98EeA_8_25"/>
      <w:bookmarkStart w:id="1159" w:name="Tc_K_FymgB650Cey0ucGIUyiA_8_24"/>
      <w:bookmarkStart w:id="1160" w:name="Tc_jDwEPncJxUm_ULkABOJ2kw_8_22"/>
      <w:bookmarkStart w:id="1161" w:name="Tc_F3D4aXHvWEmKsdfvjT-M5A_8_20"/>
      <w:bookmarkStart w:id="1162" w:name="Tc_rExG5UvZI0K0IpmDO8dbhQ_8_19"/>
      <w:bookmarkStart w:id="1163" w:name="Tc_Kw3nqzJ2QkCmiok0Q-VXRQ_8_15"/>
      <w:bookmarkStart w:id="1164" w:name="Tc_ciyeuPmV00C1wlo8BS44QQ_8_14"/>
      <w:bookmarkStart w:id="1165" w:name="Tc_Qk5bvydllkyiLdbB6Sfkug_8_10"/>
      <w:bookmarkStart w:id="1166" w:name="Tc_mlrU-PETA0uRTS30hyjxwA_8_9"/>
      <w:bookmarkStart w:id="1167" w:name="Tc_JxYnZRSKl0ibhRGdmNOdZg_8_5"/>
      <w:bookmarkStart w:id="1168" w:name="Tc__ACVp3lsVkKqnPAv7nj5OQ_8_4"/>
      <w:bookmarkStart w:id="1169" w:name="Tc_vNoDje9HykeIFOMiBZVOlg_8_0"/>
      <w:bookmarkStart w:id="1170" w:name="Tc_-KXfv2YkzE-q68j4gsttsQ_7_43"/>
      <w:bookmarkStart w:id="1171" w:name="Tc_ORr87YVPoUCH4hsKD2r21A_7_40"/>
      <w:bookmarkStart w:id="1172" w:name="Tc_iWjh9cK55Ei2vrIDdm-ePw_7_37"/>
      <w:bookmarkStart w:id="1173" w:name="Tc_b7Qa8iJLZES7ZxIL6ly8xw_7_34"/>
      <w:bookmarkStart w:id="1174" w:name="Tc_DXwqnDA10EaZfsxuEK8byw_7_32"/>
      <w:bookmarkStart w:id="1175" w:name="Tc_bjagUegTE0aDDkQUs1jevA_7_29"/>
      <w:bookmarkStart w:id="1176" w:name="Tc_fybleQhD1UelQoZTO2t0SA_7_27"/>
      <w:bookmarkStart w:id="1177" w:name="Tc_uDR2z11zqUe4Fa4a__k6ug_7_24"/>
      <w:bookmarkStart w:id="1178" w:name="Tc_likWTWWSo06Oe6qcXSlbxg_7_22"/>
      <w:bookmarkStart w:id="1179" w:name="Tc_ZeNGmSv8kkyDEfZ-LF8mlw_7_19"/>
      <w:bookmarkStart w:id="1180" w:name="Tc_qvDASG_AB06CJITm9DIsNg_7_17"/>
      <w:bookmarkStart w:id="1181" w:name="Tc__H2H3if16kKNIZFJr3Pg7A_7_14"/>
      <w:bookmarkStart w:id="1182" w:name="Tc_h82SzAvjDUCMSG-ZLMymYQ_7_12"/>
      <w:bookmarkStart w:id="1183" w:name="Tc_cEoqAQTyT0OFbbCfAp_cJQ_7_9"/>
      <w:bookmarkStart w:id="1184" w:name="Tc_nc_yZ3_2mECPn_3x2Oed9A_7_7"/>
      <w:bookmarkStart w:id="1185" w:name="Tc_5nFoBOMGmkuuiznuqNVEDQ_7_4"/>
      <w:bookmarkStart w:id="1186" w:name="Tc_P6fHEMFk0kGbkPOJXjetig_7_2"/>
      <w:bookmarkStart w:id="1187" w:name="Tc_ZY_gH-wBUkOIrbNKzpT4Ag_6_43"/>
      <w:bookmarkStart w:id="1188" w:name="Tc_buFXE3Eo_kmXECVtgqO2oA_6_40"/>
      <w:bookmarkStart w:id="1189" w:name="Tc_9K7NhiXVDkq4M_FWsl22NA_6_37"/>
      <w:bookmarkStart w:id="1190" w:name="Tc_zpuNfOzvXEyN7-FiNGfGAQ_6_32"/>
      <w:bookmarkStart w:id="1191" w:name="Tc_JR6N7u2ET0eAyMzRsKqtlA_6_27"/>
      <w:bookmarkStart w:id="1192" w:name="Tc_yX0W9Mi4V0-XRl9nutHlqw_6_22"/>
      <w:bookmarkStart w:id="1193" w:name="Tc_7YWqYQWwTkeZrl0-NQm2HQ_6_17"/>
      <w:bookmarkStart w:id="1194" w:name="Tc_CHxPcZqxyEibX9zpZOQK8A_6_12"/>
      <w:bookmarkStart w:id="1195" w:name="Tc_Tb4rCUKh7UKQKqsgDN9soQ_6_7"/>
      <w:bookmarkStart w:id="1196" w:name="Tc_vuacvv0ZEEezb4F--vV_kw_6_2"/>
      <w:bookmarkStart w:id="1197" w:name="Tc_8EEwY7zEZUui4A716BLZgw_5_43"/>
      <w:bookmarkStart w:id="1198" w:name="Tc_3BkMlmQmQEOVjBRbrhPLew_5_37"/>
      <w:bookmarkStart w:id="1199" w:name="Tc__jdvoaCybEWk4Z5jZX_9UA_5_32"/>
      <w:bookmarkStart w:id="1200" w:name="Tc_qvafu8llPEiuPdrBcf2U7w_5_27"/>
      <w:bookmarkStart w:id="1201" w:name="Tc_e53CWNbCnEmvh7i6ckErmg_5_22"/>
      <w:bookmarkStart w:id="1202" w:name="Tc_sA8flrft_kiDBBxT9HkkXw_5_17"/>
      <w:bookmarkStart w:id="1203" w:name="Tc_PWKE8VDiq0GJ82X9YXG2WA_5_12"/>
      <w:bookmarkStart w:id="1204" w:name="Tc_1tCMZ7RhWEOIN_UKrJhrtg_5_7"/>
      <w:bookmarkStart w:id="1205" w:name="Tc_dDzNO4r2wkmfk1UM4agecg_5_2"/>
      <w:bookmarkStart w:id="1206" w:name="Tc_4ouWXLNLeEel-GCXLnUKLA_4_27"/>
      <w:bookmarkStart w:id="1207" w:name="Tc_bt51mJrkJUC3x7f5elhBxw_4_22"/>
      <w:bookmarkStart w:id="1208" w:name="Tc_6fm_pekUYkyYCLyPZgsNxA_4_17"/>
      <w:bookmarkStart w:id="1209" w:name="Tc_BCM1biTE_UCUpsy4XnDUBg_4_12"/>
      <w:bookmarkStart w:id="1210" w:name="Tc_Ol4i-WSh9E-VhxZ2Hf1TOw_4_7"/>
      <w:bookmarkStart w:id="1211" w:name="Tc_JLrjkv82mUKlsPMGB0hjzQ_4_2"/>
      <w:bookmarkStart w:id="1212" w:name="Tc_UYryT3OcTUa6lWnr_OcwAQ_3_27"/>
      <w:bookmarkStart w:id="1213" w:name="Tc_MLPhzAbbvkGQTNKqy8aU_Q_3_22"/>
      <w:bookmarkStart w:id="1214" w:name="Tc_vmFdeqF_-0GXMYvAwE66uA_3_17"/>
      <w:bookmarkStart w:id="1215" w:name="Tc_pzf9hPhNn0CsAgD5OxquKQ_3_12"/>
      <w:bookmarkStart w:id="1216" w:name="Tc_G7nII3W7M0KE9rKd0qaLXQ_3_7"/>
      <w:bookmarkStart w:id="1217" w:name="Tc_3u7EPLrTuUyAFQgAZaN7bQ_3_2"/>
      <w:bookmarkStart w:id="1218" w:name="Tc_rwQOcQKbQkaWjIEQ6T0uQQ_2_27"/>
      <w:bookmarkStart w:id="1219" w:name="Tc__fumm8Vz3EKts_NBhZMEAA_2_22"/>
      <w:bookmarkStart w:id="1220" w:name="Tc_j6AUjXwoxkmZVG2ZNtMhnA_2_17"/>
      <w:bookmarkStart w:id="1221" w:name="Tc_C6uONNCIPEKQSxcQXH8lWw_2_12"/>
      <w:bookmarkStart w:id="1222" w:name="Tc_stSTzCaVpU2svIyBj4A1IA_2_7"/>
      <w:bookmarkStart w:id="1223" w:name="Tc_bFcUkW4C20qCW7KleebhcQ_2_2"/>
      <w:bookmarkStart w:id="1224" w:name="Tc_3OKlLZv-pU6bJmN9pu1nwg_1_2"/>
      <w:bookmarkStart w:id="1225" w:name="_5813ebeb_41e3_4fc8_9817_ea7feb73fd1f"/>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p>
    <w:tbl>
      <w:tblPr>
        <w:tblW w:w="14496" w:type="dxa"/>
        <w:jc w:val="left"/>
        <w:tblInd w:w="0" w:type="dxa"/>
        <w:tblLayout w:type="fixed"/>
        <w:tblCellMar>
          <w:top w:w="0" w:type="dxa"/>
          <w:left w:w="0" w:type="dxa"/>
          <w:bottom w:w="0" w:type="dxa"/>
          <w:right w:w="0" w:type="dxa"/>
        </w:tblCellMar>
      </w:tblPr>
      <w:tblGrid>
        <w:gridCol w:w="811"/>
        <w:gridCol w:w="226"/>
        <w:gridCol w:w="451"/>
        <w:gridCol w:w="226"/>
        <w:gridCol w:w="170"/>
        <w:gridCol w:w="356"/>
        <w:gridCol w:w="226"/>
        <w:gridCol w:w="451"/>
        <w:gridCol w:w="226"/>
        <w:gridCol w:w="170"/>
        <w:gridCol w:w="356"/>
        <w:gridCol w:w="226"/>
        <w:gridCol w:w="481"/>
        <w:gridCol w:w="226"/>
        <w:gridCol w:w="170"/>
        <w:gridCol w:w="356"/>
        <w:gridCol w:w="286"/>
        <w:gridCol w:w="451"/>
        <w:gridCol w:w="226"/>
        <w:gridCol w:w="170"/>
        <w:gridCol w:w="356"/>
        <w:gridCol w:w="286"/>
        <w:gridCol w:w="631"/>
        <w:gridCol w:w="226"/>
        <w:gridCol w:w="170"/>
        <w:gridCol w:w="356"/>
        <w:gridCol w:w="286"/>
        <w:gridCol w:w="541"/>
        <w:gridCol w:w="226"/>
        <w:gridCol w:w="170"/>
        <w:gridCol w:w="356"/>
        <w:gridCol w:w="286"/>
        <w:gridCol w:w="646"/>
        <w:gridCol w:w="226"/>
        <w:gridCol w:w="170"/>
        <w:gridCol w:w="356"/>
        <w:gridCol w:w="226"/>
        <w:gridCol w:w="166"/>
        <w:gridCol w:w="496"/>
        <w:gridCol w:w="226"/>
        <w:gridCol w:w="186"/>
        <w:gridCol w:w="610"/>
        <w:gridCol w:w="226"/>
        <w:gridCol w:w="213"/>
        <w:gridCol w:w="598"/>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14985" cy="175260"/>
                      <wp:effectExtent l="0" t="0" r="0" b="0"/>
                      <wp:wrapNone/>
                      <wp:docPr id="106" name="Frame10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3510" cy="175260"/>
                      <wp:effectExtent l="0" t="0" r="0" b="0"/>
                      <wp:wrapNone/>
                      <wp:docPr id="107" name="Frame1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86385" cy="175260"/>
                      <wp:effectExtent l="0" t="0" r="0" b="0"/>
                      <wp:wrapNone/>
                      <wp:docPr id="108" name="Frame10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3510" cy="175260"/>
                      <wp:effectExtent l="0" t="0" r="0" b="0"/>
                      <wp:wrapNone/>
                      <wp:docPr id="109" name="Frame10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07950" cy="175260"/>
                      <wp:effectExtent l="0" t="0" r="0" b="0"/>
                      <wp:wrapNone/>
                      <wp:docPr id="110" name="Frame11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26060" cy="175260"/>
                      <wp:effectExtent l="0" t="0" r="0" b="0"/>
                      <wp:wrapNone/>
                      <wp:docPr id="111" name="Frame11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3510" cy="175260"/>
                      <wp:effectExtent l="0" t="0" r="0" b="0"/>
                      <wp:wrapNone/>
                      <wp:docPr id="112" name="Frame1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86385" cy="175260"/>
                      <wp:effectExtent l="0" t="0" r="0" b="0"/>
                      <wp:wrapNone/>
                      <wp:docPr id="113" name="Frame11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3510" cy="175260"/>
                      <wp:effectExtent l="0" t="0" r="0" b="0"/>
                      <wp:wrapNone/>
                      <wp:docPr id="114" name="Frame1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07950" cy="175260"/>
                      <wp:effectExtent l="0" t="0" r="0" b="0"/>
                      <wp:wrapNone/>
                      <wp:docPr id="115" name="Frame115"/>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26060" cy="175260"/>
                      <wp:effectExtent l="0" t="0" r="0" b="0"/>
                      <wp:wrapNone/>
                      <wp:docPr id="116" name="Frame11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3510" cy="175260"/>
                      <wp:effectExtent l="0" t="0" r="0" b="0"/>
                      <wp:wrapNone/>
                      <wp:docPr id="117" name="Frame1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05435" cy="175260"/>
                      <wp:effectExtent l="0" t="0" r="0" b="0"/>
                      <wp:wrapNone/>
                      <wp:docPr id="118" name="Frame11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43510" cy="175260"/>
                      <wp:effectExtent l="0" t="0" r="0" b="0"/>
                      <wp:wrapNone/>
                      <wp:docPr id="119" name="Frame1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07950" cy="175260"/>
                      <wp:effectExtent l="0" t="0" r="0" b="0"/>
                      <wp:wrapNone/>
                      <wp:docPr id="120" name="Frame12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26060" cy="175260"/>
                      <wp:effectExtent l="0" t="0" r="0" b="0"/>
                      <wp:wrapNone/>
                      <wp:docPr id="121" name="Frame12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81610" cy="175260"/>
                      <wp:effectExtent l="0" t="0" r="0" b="0"/>
                      <wp:wrapNone/>
                      <wp:docPr id="122" name="Frame12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86385" cy="175260"/>
                      <wp:effectExtent l="0" t="0" r="0" b="0"/>
                      <wp:wrapNone/>
                      <wp:docPr id="123" name="Frame12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3510" cy="175260"/>
                      <wp:effectExtent l="0" t="0" r="0" b="0"/>
                      <wp:wrapNone/>
                      <wp:docPr id="124" name="Frame1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07950" cy="175260"/>
                      <wp:effectExtent l="0" t="0" r="0" b="0"/>
                      <wp:wrapNone/>
                      <wp:docPr id="125" name="Frame125"/>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26060" cy="175260"/>
                      <wp:effectExtent l="0" t="0" r="0" b="0"/>
                      <wp:wrapNone/>
                      <wp:docPr id="126" name="Frame12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81610" cy="175260"/>
                      <wp:effectExtent l="0" t="0" r="0" b="0"/>
                      <wp:wrapNone/>
                      <wp:docPr id="127" name="Frame1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00685" cy="175260"/>
                      <wp:effectExtent l="0" t="0" r="0" b="0"/>
                      <wp:wrapNone/>
                      <wp:docPr id="128" name="Frame12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3510" cy="175260"/>
                      <wp:effectExtent l="0" t="0" r="0" b="0"/>
                      <wp:wrapNone/>
                      <wp:docPr id="129" name="Frame1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07950" cy="175260"/>
                      <wp:effectExtent l="0" t="0" r="0" b="0"/>
                      <wp:wrapNone/>
                      <wp:docPr id="130" name="Frame13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26060" cy="175260"/>
                      <wp:effectExtent l="0" t="0" r="0" b="0"/>
                      <wp:wrapNone/>
                      <wp:docPr id="131" name="Frame13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81610" cy="175260"/>
                      <wp:effectExtent l="0" t="0" r="0" b="0"/>
                      <wp:wrapNone/>
                      <wp:docPr id="132" name="Frame13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43535" cy="175260"/>
                      <wp:effectExtent l="0" t="0" r="0" b="0"/>
                      <wp:wrapNone/>
                      <wp:docPr id="133" name="Frame13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3510" cy="175260"/>
                      <wp:effectExtent l="0" t="0" r="0" b="0"/>
                      <wp:wrapNone/>
                      <wp:docPr id="134" name="Frame1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07950" cy="175260"/>
                      <wp:effectExtent l="0" t="0" r="0" b="0"/>
                      <wp:wrapNone/>
                      <wp:docPr id="135" name="Frame135"/>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6060" cy="175260"/>
                      <wp:effectExtent l="0" t="0" r="0" b="0"/>
                      <wp:wrapNone/>
                      <wp:docPr id="136" name="Frame13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81610" cy="175260"/>
                      <wp:effectExtent l="0" t="0" r="0" b="0"/>
                      <wp:wrapNone/>
                      <wp:docPr id="137" name="Frame13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10210" cy="175260"/>
                      <wp:effectExtent l="0" t="0" r="0" b="0"/>
                      <wp:wrapNone/>
                      <wp:docPr id="138" name="Frame13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3510" cy="175260"/>
                      <wp:effectExtent l="0" t="0" r="0" b="0"/>
                      <wp:wrapNone/>
                      <wp:docPr id="139" name="Frame1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07950" cy="175260"/>
                      <wp:effectExtent l="0" t="0" r="0" b="0"/>
                      <wp:wrapNone/>
                      <wp:docPr id="140" name="Frame14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26060" cy="175260"/>
                      <wp:effectExtent l="0" t="0" r="0" b="0"/>
                      <wp:wrapNone/>
                      <wp:docPr id="141" name="Frame14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43510" cy="175260"/>
                      <wp:effectExtent l="0" t="0" r="0" b="0"/>
                      <wp:wrapNone/>
                      <wp:docPr id="142" name="Frame1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05410" cy="175260"/>
                      <wp:effectExtent l="0" t="0" r="0" b="0"/>
                      <wp:wrapNone/>
                      <wp:docPr id="143" name="Frame14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14960" cy="175260"/>
                      <wp:effectExtent l="0" t="0" r="0" b="0"/>
                      <wp:wrapNone/>
                      <wp:docPr id="144" name="Frame14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43510" cy="175260"/>
                      <wp:effectExtent l="0" t="0" r="0" b="0"/>
                      <wp:wrapNone/>
                      <wp:docPr id="145" name="Frame1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18110" cy="175260"/>
                      <wp:effectExtent l="0" t="0" r="0" b="0"/>
                      <wp:wrapNone/>
                      <wp:docPr id="146" name="Frame146"/>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87350" cy="175260"/>
                      <wp:effectExtent l="0" t="0" r="0" b="0"/>
                      <wp:wrapNone/>
                      <wp:docPr id="147" name="Frame147"/>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43510" cy="175260"/>
                      <wp:effectExtent l="0" t="0" r="0" b="0"/>
                      <wp:wrapNone/>
                      <wp:docPr id="148" name="Frame1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5255" cy="175260"/>
                      <wp:effectExtent l="0" t="0" r="0" b="0"/>
                      <wp:wrapNone/>
                      <wp:docPr id="149" name="Frame14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79730" cy="175260"/>
                      <wp:effectExtent l="0" t="0" r="0" b="0"/>
                      <wp:wrapNone/>
                      <wp:docPr id="150" name="Frame150"/>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3459" w:type="dxa"/>
            <w:gridSpan w:val="43"/>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2026</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E</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F</w:t>
            </w:r>
          </w:p>
        </w:tc>
        <w:tc>
          <w:tcPr>
            <w:tcW w:w="226" w:type="dxa"/>
            <w:tcBorders/>
            <w:vAlign w:val="center"/>
          </w:tcPr>
          <w:p>
            <w:pPr>
              <w:pStyle w:val="TableContents"/>
              <w:bidi w:val="0"/>
              <w:spacing w:lineRule="auto" w:line="285" w:before="0" w:after="0"/>
              <w:ind w:left="0" w:right="0" w:hanging="0"/>
              <w:jc w:val="left"/>
              <w:rPr/>
            </w:pPr>
            <w:r>
              <w:rPr/>
              <w:t>​</w:t>
            </w:r>
          </w:p>
        </w:tc>
        <w:tc>
          <w:tcPr>
            <w:tcW w:w="123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G</w:t>
            </w:r>
          </w:p>
        </w:tc>
        <w:tc>
          <w:tcPr>
            <w:tcW w:w="286" w:type="dxa"/>
            <w:tcBorders/>
            <w:vAlign w:val="center"/>
          </w:tcPr>
          <w:p>
            <w:pPr>
              <w:pStyle w:val="TableContents"/>
              <w:bidi w:val="0"/>
              <w:spacing w:lineRule="auto" w:line="285" w:before="0" w:after="1"/>
              <w:ind w:left="0" w:right="0" w:hanging="0"/>
              <w:jc w:val="left"/>
              <w:rPr/>
            </w:pPr>
            <w:r>
              <w:rPr/>
              <w:t>  ​ ​</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H</w:t>
            </w:r>
          </w:p>
        </w:tc>
        <w:tc>
          <w:tcPr>
            <w:tcW w:w="286" w:type="dxa"/>
            <w:tcBorders/>
            <w:vAlign w:val="center"/>
          </w:tcPr>
          <w:p>
            <w:pPr>
              <w:pStyle w:val="TableContents"/>
              <w:bidi w:val="0"/>
              <w:spacing w:lineRule="auto" w:line="285" w:before="0" w:after="1"/>
              <w:ind w:left="0" w:right="0" w:hanging="0"/>
              <w:jc w:val="left"/>
              <w:rPr/>
            </w:pPr>
            <w:r>
              <w:rPr/>
              <w:t>  ​ ​</w:t>
            </w:r>
          </w:p>
        </w:tc>
        <w:tc>
          <w:tcPr>
            <w:tcW w:w="138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AAA</w:t>
            </w:r>
          </w:p>
        </w:tc>
        <w:tc>
          <w:tcPr>
            <w:tcW w:w="286" w:type="dxa"/>
            <w:tcBorders/>
            <w:vAlign w:val="center"/>
          </w:tcPr>
          <w:p>
            <w:pPr>
              <w:pStyle w:val="TableContents"/>
              <w:bidi w:val="0"/>
              <w:spacing w:lineRule="auto" w:line="285" w:before="0" w:after="1"/>
              <w:ind w:left="0" w:right="0" w:hanging="0"/>
              <w:jc w:val="left"/>
              <w:rPr/>
            </w:pPr>
            <w:r>
              <w:rPr/>
              <w:t>  ​ ​</w:t>
            </w:r>
          </w:p>
        </w:tc>
        <w:tc>
          <w:tcPr>
            <w:tcW w:w="129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AA</w:t>
            </w:r>
          </w:p>
        </w:tc>
        <w:tc>
          <w:tcPr>
            <w:tcW w:w="286" w:type="dxa"/>
            <w:tcBorders/>
            <w:vAlign w:val="center"/>
          </w:tcPr>
          <w:p>
            <w:pPr>
              <w:pStyle w:val="TableContents"/>
              <w:bidi w:val="0"/>
              <w:spacing w:lineRule="auto" w:line="285" w:before="0" w:after="1"/>
              <w:ind w:left="0" w:right="0" w:hanging="0"/>
              <w:jc w:val="left"/>
              <w:rPr/>
            </w:pPr>
            <w:r>
              <w:rPr/>
              <w:t>  ​ ​</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598"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26" w:type="dxa"/>
            <w:tcBorders/>
            <w:vAlign w:val="center"/>
          </w:tcPr>
          <w:p>
            <w:pPr>
              <w:pStyle w:val="TableContents"/>
              <w:bidi w:val="0"/>
              <w:spacing w:lineRule="auto" w:line="285" w:before="0" w:after="0"/>
              <w:ind w:left="0" w:right="0" w:hanging="0"/>
              <w:jc w:val="left"/>
              <w:rPr/>
            </w:pPr>
            <w:r>
              <w:rPr/>
              <w:t>​</w:t>
            </w:r>
          </w:p>
        </w:tc>
        <w:tc>
          <w:tcPr>
            <w:tcW w:w="123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38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9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598"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26" w:type="dxa"/>
            <w:tcBorders/>
            <w:vAlign w:val="center"/>
          </w:tcPr>
          <w:p>
            <w:pPr>
              <w:pStyle w:val="TableContents"/>
              <w:bidi w:val="0"/>
              <w:spacing w:lineRule="auto" w:line="285" w:before="0" w:after="0"/>
              <w:ind w:left="0" w:right="0" w:hanging="0"/>
              <w:jc w:val="left"/>
              <w:rPr/>
            </w:pPr>
            <w:r>
              <w:rPr/>
              <w:t>​</w:t>
            </w:r>
          </w:p>
        </w:tc>
        <w:tc>
          <w:tcPr>
            <w:tcW w:w="123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38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9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598"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26" w:type="dxa"/>
            <w:tcBorders/>
            <w:vAlign w:val="center"/>
          </w:tcPr>
          <w:p>
            <w:pPr>
              <w:pStyle w:val="TableContents"/>
              <w:bidi w:val="0"/>
              <w:spacing w:lineRule="auto" w:line="285" w:before="0" w:after="0"/>
              <w:ind w:left="0" w:right="0" w:hanging="0"/>
              <w:jc w:val="left"/>
              <w:rPr/>
            </w:pPr>
            <w:r>
              <w:rPr/>
              <w:t>​</w:t>
            </w:r>
          </w:p>
        </w:tc>
        <w:tc>
          <w:tcPr>
            <w:tcW w:w="123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38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9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398"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226" w:type="dxa"/>
            <w:tcBorders/>
            <w:vAlign w:val="center"/>
          </w:tcPr>
          <w:p>
            <w:pPr>
              <w:pStyle w:val="TableContents"/>
              <w:bidi w:val="0"/>
              <w:spacing w:lineRule="auto" w:line="285" w:before="0" w:after="0"/>
              <w:ind w:left="0" w:right="0" w:hanging="0"/>
              <w:jc w:val="left"/>
              <w:rPr/>
            </w:pPr>
            <w:r>
              <w:rPr/>
              <w:t>​</w:t>
            </w:r>
          </w:p>
        </w:tc>
        <w:tc>
          <w:tcPr>
            <w:tcW w:w="66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81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26" w:type="dxa"/>
            <w:tcBorders/>
            <w:vAlign w:val="center"/>
          </w:tcPr>
          <w:p>
            <w:pPr>
              <w:pStyle w:val="TableContents"/>
              <w:bidi w:val="0"/>
              <w:spacing w:lineRule="auto" w:line="285" w:before="0" w:after="0"/>
              <w:ind w:left="0" w:right="0" w:hanging="0"/>
              <w:jc w:val="left"/>
              <w:rPr/>
            </w:pPr>
            <w:r>
              <w:rPr/>
              <w:t>​</w:t>
            </w:r>
          </w:p>
        </w:tc>
        <w:tc>
          <w:tcPr>
            <w:tcW w:w="123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38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9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398"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26" w:type="dxa"/>
            <w:tcBorders/>
            <w:vAlign w:val="center"/>
          </w:tcPr>
          <w:p>
            <w:pPr>
              <w:pStyle w:val="TableContents"/>
              <w:bidi w:val="0"/>
              <w:spacing w:lineRule="auto" w:line="285" w:before="0" w:after="0"/>
              <w:ind w:left="0" w:right="0" w:hanging="0"/>
              <w:jc w:val="left"/>
              <w:rPr/>
            </w:pPr>
            <w:r>
              <w:rPr/>
              <w:t>​</w:t>
            </w:r>
          </w:p>
        </w:tc>
        <w:tc>
          <w:tcPr>
            <w:tcW w:w="66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226" w:type="dxa"/>
            <w:tcBorders/>
            <w:vAlign w:val="center"/>
          </w:tcPr>
          <w:p>
            <w:pPr>
              <w:pStyle w:val="TableContents"/>
              <w:bidi w:val="0"/>
              <w:spacing w:lineRule="auto" w:line="285" w:before="0" w:after="0"/>
              <w:ind w:left="0" w:right="0" w:hanging="0"/>
              <w:jc w:val="left"/>
              <w:rPr/>
            </w:pPr>
            <w:r>
              <w:rPr/>
              <w:t>​</w:t>
            </w:r>
          </w:p>
        </w:tc>
        <w:tc>
          <w:tcPr>
            <w:tcW w:w="79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226" w:type="dxa"/>
            <w:tcBorders/>
            <w:vAlign w:val="center"/>
          </w:tcPr>
          <w:p>
            <w:pPr>
              <w:pStyle w:val="TableContents"/>
              <w:bidi w:val="0"/>
              <w:spacing w:lineRule="auto" w:line="285" w:before="0" w:after="0"/>
              <w:ind w:left="0" w:right="0" w:hanging="0"/>
              <w:jc w:val="left"/>
              <w:rPr/>
            </w:pPr>
            <w:r>
              <w:rPr/>
              <w:t>​</w:t>
            </w:r>
          </w:p>
        </w:tc>
        <w:tc>
          <w:tcPr>
            <w:tcW w:w="81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lineRule="auto" w:line="285"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lineRule="auto" w:line="285"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lineRule="auto" w:line="285" w:before="0" w:after="1"/>
              <w:ind w:left="0" w:right="0" w:hanging="0"/>
              <w:jc w:val="left"/>
              <w:rPr/>
            </w:pPr>
            <w:r>
              <w:rPr/>
              <w:t>  ​</w:t>
            </w:r>
          </w:p>
        </w:tc>
        <w:tc>
          <w:tcPr>
            <w:tcW w:w="66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226" w:type="dxa"/>
            <w:tcBorders/>
            <w:vAlign w:val="center"/>
          </w:tcPr>
          <w:p>
            <w:pPr>
              <w:pStyle w:val="TableContents"/>
              <w:bidi w:val="0"/>
              <w:spacing w:lineRule="auto" w:line="285"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226" w:type="dxa"/>
            <w:tcBorders/>
            <w:vAlign w:val="center"/>
          </w:tcPr>
          <w:p>
            <w:pPr>
              <w:pStyle w:val="TableContents"/>
              <w:bidi w:val="0"/>
              <w:spacing w:lineRule="auto" w:line="285"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 xml:space="preserve">Equity </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9,278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2,928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10,901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2,299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900,000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556,995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701,894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shd w:fill="CCEEFF" w:val="clear"/>
            <w:vAlign w:val="center"/>
          </w:tcPr>
          <w:p>
            <w:pPr>
              <w:pStyle w:val="TableContents"/>
              <w:bidi w:val="0"/>
              <w:spacing w:lineRule="auto" w:line="285" w:before="0" w:after="0"/>
              <w:ind w:left="0" w:right="0" w:hanging="0"/>
              <w:jc w:val="center"/>
              <w:rPr/>
            </w:pPr>
            <w:r>
              <w:rPr/>
              <w:t>​</w:t>
            </w:r>
          </w:p>
        </w:tc>
        <w:tc>
          <w:tcPr>
            <w:tcW w:w="61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(694,900)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6,996</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to satisfy service contract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100,000</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1,755</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5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1,755</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Issuance of Series AAA Preferred Stock</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2,100,000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4,100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shd w:fill="CCEEFF" w:val="clear"/>
            <w:vAlign w:val="center"/>
          </w:tcPr>
          <w:p>
            <w:pPr>
              <w:pStyle w:val="TableContents"/>
              <w:bidi w:val="0"/>
              <w:spacing w:lineRule="auto" w:line="285" w:before="0" w:after="0"/>
              <w:ind w:left="0" w:right="0" w:hanging="0"/>
              <w:jc w:val="left"/>
              <w:rPr/>
            </w:pPr>
            <w:r>
              <w:rPr/>
              <w:t>​</w:t>
            </w:r>
          </w:p>
        </w:tc>
        <w:tc>
          <w:tcPr>
            <w:tcW w:w="610"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5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4,102</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Conversion of Series AAA Preferred Stock</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(2,100,000)</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28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17,640,000</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18</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(16)</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598" w:type="dxa"/>
            <w:tcBorders/>
            <w:vAlign w:val="center"/>
          </w:tcPr>
          <w:p>
            <w:pPr>
              <w:pStyle w:val="TableContents"/>
              <w:bidi w:val="0"/>
              <w:spacing w:lineRule="auto" w:line="285" w:before="0" w:after="1"/>
              <w:ind w:left="0" w:right="0" w:hanging="0"/>
              <w:jc w:val="right"/>
              <w:rPr/>
            </w:pPr>
            <w:r>
              <w:rPr/>
              <w:t>—</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Conversion of Preferred Stock</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(9,278)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(2,928)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(10,901)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(2,299)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(900,000)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1,040,811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shd w:fill="CCEEFF" w:val="clear"/>
            <w:vAlign w:val="center"/>
          </w:tcPr>
          <w:p>
            <w:pPr>
              <w:pStyle w:val="TableContents"/>
              <w:bidi w:val="0"/>
              <w:spacing w:lineRule="auto" w:line="285" w:before="0" w:after="0"/>
              <w:ind w:left="0" w:right="0" w:hanging="0"/>
              <w:jc w:val="left"/>
              <w:rPr/>
            </w:pPr>
            <w:r>
              <w:rPr/>
              <w:t>​</w:t>
            </w:r>
          </w:p>
        </w:tc>
        <w:tc>
          <w:tcPr>
            <w:tcW w:w="610"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598" w:type="dxa"/>
            <w:tcBorders/>
            <w:shd w:fill="CCEEFF" w:val="clear"/>
            <w:vAlign w:val="center"/>
          </w:tcPr>
          <w:p>
            <w:pPr>
              <w:pStyle w:val="TableContents"/>
              <w:bidi w:val="0"/>
              <w:spacing w:lineRule="auto" w:line="285" w:before="0" w:after="1"/>
              <w:ind w:left="0" w:right="0" w:hanging="0"/>
              <w:jc w:val="right"/>
              <w:rPr/>
            </w:pPr>
            <w:r>
              <w:rPr/>
              <w:t>—</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for vested restricted stock units</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2,025</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598" w:type="dxa"/>
            <w:tcBorders/>
            <w:vAlign w:val="center"/>
          </w:tcPr>
          <w:p>
            <w:pPr>
              <w:pStyle w:val="TableContents"/>
              <w:bidi w:val="0"/>
              <w:spacing w:lineRule="auto" w:line="285" w:before="0" w:after="1"/>
              <w:ind w:left="0" w:right="0" w:hanging="0"/>
              <w:jc w:val="right"/>
              <w:rPr/>
            </w:pPr>
            <w:r>
              <w:rPr/>
              <w:t>—</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Retired shares</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shd w:fill="CCEEFF" w:val="clear"/>
            <w:vAlign w:val="center"/>
          </w:tcPr>
          <w:p>
            <w:pPr>
              <w:pStyle w:val="TableContents"/>
              <w:bidi w:val="0"/>
              <w:spacing w:lineRule="auto" w:line="285" w:before="0" w:after="0"/>
              <w:ind w:left="0" w:right="0" w:hanging="0"/>
              <w:jc w:val="left"/>
              <w:rPr/>
            </w:pPr>
            <w:r>
              <w:rPr/>
              <w:t>​</w:t>
            </w:r>
          </w:p>
        </w:tc>
        <w:tc>
          <w:tcPr>
            <w:tcW w:w="610"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598" w:type="dxa"/>
            <w:tcBorders/>
            <w:shd w:fill="CCEEFF" w:val="clear"/>
            <w:vAlign w:val="center"/>
          </w:tcPr>
          <w:p>
            <w:pPr>
              <w:pStyle w:val="TableContents"/>
              <w:bidi w:val="0"/>
              <w:spacing w:lineRule="auto" w:line="285" w:before="0" w:after="1"/>
              <w:ind w:left="0" w:right="0" w:hanging="0"/>
              <w:jc w:val="right"/>
              <w:rPr/>
            </w:pPr>
            <w:r>
              <w:rPr/>
              <w:t>—</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 expense</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(607)</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5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(607)</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(3,202)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9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(3,202)</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Balance as of June 30, 2026</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64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19,339,786</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707,126</w:t>
            </w:r>
          </w:p>
        </w:tc>
        <w:tc>
          <w:tcPr>
            <w:tcW w:w="226" w:type="dxa"/>
            <w:tcBorders/>
            <w:vAlign w:val="center"/>
          </w:tcPr>
          <w:p>
            <w:pPr>
              <w:pStyle w:val="TableContents"/>
              <w:bidi w:val="0"/>
              <w:spacing w:lineRule="auto" w:line="285" w:before="0" w:after="0"/>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(698,102)</w:t>
            </w:r>
          </w:p>
        </w:tc>
        <w:tc>
          <w:tcPr>
            <w:tcW w:w="226" w:type="dxa"/>
            <w:tcBorders/>
            <w:vAlign w:val="center"/>
          </w:tcPr>
          <w:p>
            <w:pPr>
              <w:pStyle w:val="TableContents"/>
              <w:bidi w:val="0"/>
              <w:spacing w:lineRule="auto" w:line="285"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98" w:type="dxa"/>
            <w:tcBorders>
              <w:bottom w:val="double" w:sz="6" w:space="0" w:color="000000"/>
            </w:tcBorders>
            <w:tcMar>
              <w:bottom w:w="28" w:type="dxa"/>
            </w:tcMar>
            <w:vAlign w:val="center"/>
          </w:tcPr>
          <w:p>
            <w:pPr>
              <w:pStyle w:val="TableContents"/>
              <w:bidi w:val="0"/>
              <w:spacing w:lineRule="auto" w:line="285" w:before="0" w:after="1"/>
              <w:ind w:left="0" w:right="45" w:hanging="0"/>
              <w:jc w:val="right"/>
              <w:rPr>
                <w:rFonts w:ascii="Times New Roman;Times;serif" w:hAnsi="Times New Roman;Times;serif"/>
                <w:sz w:val="12"/>
              </w:rPr>
            </w:pPr>
            <w:r>
              <w:rPr>
                <w:rFonts w:ascii="Times New Roman;Times;serif" w:hAnsi="Times New Roman;Times;serif"/>
                <w:sz w:val="12"/>
              </w:rPr>
              <w:t>9,044</w:t>
            </w:r>
          </w:p>
        </w:tc>
      </w:tr>
    </w:tbl>
    <w:p>
      <w:pPr>
        <w:pStyle w:val="TextBody"/>
        <w:bidi w:val="0"/>
        <w:spacing w:lineRule="auto" w:line="285" w:before="0" w:after="240"/>
        <w:ind w:left="0" w:right="0" w:firstLine="720"/>
        <w:jc w:val="center"/>
        <w:rPr/>
      </w:pPr>
      <w:r>
        <w:rPr/>
        <w:t>​</w:t>
      </w:r>
    </w:p>
    <w:p>
      <w:pPr>
        <w:pStyle w:val="TextBody"/>
        <w:bidi w:val="0"/>
        <w:spacing w:lineRule="auto" w:line="285" w:before="0" w:after="240"/>
        <w:ind w:left="0" w:right="0" w:firstLine="720"/>
        <w:jc w:val="center"/>
        <w:rPr/>
      </w:pPr>
      <w:r>
        <w:rPr/>
        <w:t>​</w:t>
      </w:r>
    </w:p>
    <w:p>
      <w:pPr>
        <w:pStyle w:val="Normal"/>
        <w:bidi w:val="0"/>
        <w:spacing w:before="0" w:after="0"/>
        <w:jc w:val="left"/>
        <w:rPr>
          <w:sz w:val="4"/>
          <w:szCs w:val="4"/>
        </w:rPr>
      </w:pPr>
      <w:r>
        <w:rPr>
          <w:sz w:val="4"/>
          <w:szCs w:val="4"/>
        </w:rPr>
      </w:r>
      <w:bookmarkStart w:id="1226" w:name="Tc_kLeCUtV1KE-pTKWRNtxqJw_14_38"/>
      <w:bookmarkStart w:id="1227" w:name="Tc_4XZ7ApjpqkyTJCz5mtslag_14_35"/>
      <w:bookmarkStart w:id="1228" w:name="Tc_mEQzjB8tsUy1L0Tnn2Yczg_14_32"/>
      <w:bookmarkStart w:id="1229" w:name="Tc_6RjWMQVa4UGiKkuvgZII6Q_14_29"/>
      <w:bookmarkStart w:id="1230" w:name="Tc_UfAO8hxTsU6QbPyH7sVe1Q_14_25"/>
      <w:bookmarkStart w:id="1231" w:name="Tc_Mcgc99ROZE-m9W3UwPxdxQ_14_24"/>
      <w:bookmarkStart w:id="1232" w:name="Tc_ORIX4RVQaE6_zwEavKg1lQ_14_20"/>
      <w:bookmarkStart w:id="1233" w:name="Tc_-xEkmJ8ClES86D2WOJoOsA_14_19"/>
      <w:bookmarkStart w:id="1234" w:name="Tc_DqRUtMnnDkS_4kgnB-9mxw_14_15"/>
      <w:bookmarkStart w:id="1235" w:name="Tc_1L7ZRRehlE2XdzjQpJrNmg_14_14"/>
      <w:bookmarkStart w:id="1236" w:name="Tc_qblrYrx6TEywAW0XBSrT6w_14_10"/>
      <w:bookmarkStart w:id="1237" w:name="Tc_v74auFC2Ek2QSIyGlkAWrQ_14_9"/>
      <w:bookmarkStart w:id="1238" w:name="Tc_4xv3uLgqNkejPLM0CkClKA_14_5"/>
      <w:bookmarkStart w:id="1239" w:name="Tc_VxO6d6ptSUSeVvhdXbfStQ_14_4"/>
      <w:bookmarkStart w:id="1240" w:name="Tc_KNacPm9eHkmjp3DB4yKqhA_14_0"/>
      <w:bookmarkStart w:id="1241" w:name="Tc_yW__OTEbekeQGq9Hm8xrjw_13_33"/>
      <w:bookmarkStart w:id="1242" w:name="Tc_O76sAP7440mWaIFGmdxgnQ_13_30"/>
      <w:bookmarkStart w:id="1243" w:name="Tc_2pQOC0FcUkym5yZfgtKvpg_13_27"/>
      <w:bookmarkStart w:id="1244" w:name="Tc_5P6gqizDwEiZTYjapJHFnw_13_25"/>
      <w:bookmarkStart w:id="1245" w:name="Tc_VdRKl5FvhkaoCtfcnhvhlQ_13_22"/>
      <w:bookmarkStart w:id="1246" w:name="Tc_nOeetzRNNEaoT-Sz3DxdPA_13_20"/>
      <w:bookmarkStart w:id="1247" w:name="Tc_SxydTXbgbkOnXk2vc2ILBg_13_17"/>
      <w:bookmarkStart w:id="1248" w:name="Tc_y9um_FM_sUqY0BPWiusdlQ_13_15"/>
      <w:bookmarkStart w:id="1249" w:name="Tc_hAx8LUe_5EK9kyjB3cn2wA_13_12"/>
      <w:bookmarkStart w:id="1250" w:name="Tc_QpQd4JAo50-T9CYAvVPfYw_13_10"/>
      <w:bookmarkStart w:id="1251" w:name="Tc_deimdFw0vUWh9vvzKieV1g_13_7"/>
      <w:bookmarkStart w:id="1252" w:name="Tc_u4MA6KAB1UWljG5EIWCOHQ_13_5"/>
      <w:bookmarkStart w:id="1253" w:name="Tc_gtmKBWS2dUacF2oi2zNzTw_13_2"/>
      <w:bookmarkStart w:id="1254" w:name="Tc_gmW30fTy5Em_5ACI8GjoQA_13_0"/>
      <w:bookmarkStart w:id="1255" w:name="Tc_7t6xvQ3TmE-BCXQUJP-XNQ_12_36"/>
      <w:bookmarkStart w:id="1256" w:name="Tc_midk928NEES8r5-hfzMnCQ_12_30"/>
      <w:bookmarkStart w:id="1257" w:name="Tc_brK7eAzPzU-DEbPWqnstVg_12_27"/>
      <w:bookmarkStart w:id="1258" w:name="Tc_0o-Zw6pKQkCoWGRbYVIeow_12_25"/>
      <w:bookmarkStart w:id="1259" w:name="Tc_LJx1xO4H9U-i-WuqpoLshQ_12_22"/>
      <w:bookmarkStart w:id="1260" w:name="Tc_DDsY03_0r06xsBhPCVEzSQ_12_20"/>
      <w:bookmarkStart w:id="1261" w:name="Tc_YVSyj9z3mkKG082Jm8KQpA_12_17"/>
      <w:bookmarkStart w:id="1262" w:name="Tc_otYvfBvVKk-Ua0-1CuP4RQ_12_15"/>
      <w:bookmarkStart w:id="1263" w:name="Tc_y57j6xJE6ke3F1lZmI5chg_12_12"/>
      <w:bookmarkStart w:id="1264" w:name="Tc_V1ieCE8ZE0iRBZBZoQvvyg_12_10"/>
      <w:bookmarkStart w:id="1265" w:name="Tc_cMOcNI_RU0qpHlD3K_I_zw_12_7"/>
      <w:bookmarkStart w:id="1266" w:name="Tc_FdaYU_0tvE6385hZzUFA-Q_12_5"/>
      <w:bookmarkStart w:id="1267" w:name="Tc_ER0t7s9I_EO6mzE3S_xf8Q_12_2"/>
      <w:bookmarkStart w:id="1268" w:name="Tc_vPOquW81zUq08CYfT3xQKw_12_0"/>
      <w:bookmarkStart w:id="1269" w:name="Tc_OjbwKGcXOkak1iZZB1vqXA_11_39"/>
      <w:bookmarkStart w:id="1270" w:name="Tc_RDKRH-WiR0yBPgu57oT_jg_11_36"/>
      <w:bookmarkStart w:id="1271" w:name="Tc_Nzxeb-0v40Oe2rHcSLcXCg_11_30"/>
      <w:bookmarkStart w:id="1272" w:name="Tc_Tv6cJPkRXE6As3nDGvw2NA_11_25"/>
      <w:bookmarkStart w:id="1273" w:name="Tc_E29FQEX_ZkG8E65nFCmQ4A_11_22"/>
      <w:bookmarkStart w:id="1274" w:name="Tc_Oz3gvyKqD0iMu8v9lP0_-w_11_20"/>
      <w:bookmarkStart w:id="1275" w:name="Tc_p3iEr08PrE-cFb40fmEaWQ_11_15"/>
      <w:bookmarkStart w:id="1276" w:name="Tc_di3S8EoIrUKb0JYprt6eag_11_12"/>
      <w:bookmarkStart w:id="1277" w:name="Tc_-02Ij0lLrE-NqZccopRp_Q_11_10"/>
      <w:bookmarkStart w:id="1278" w:name="Tc_vi5_D0OlKkCrxJifJmvelQ_11_7"/>
      <w:bookmarkStart w:id="1279" w:name="Tc_Jmnhqyzeh0eY8bWU-UqIew_11_5"/>
      <w:bookmarkStart w:id="1280" w:name="Tc_F0CwB5Pd0UG28xk9u04aug_11_2"/>
      <w:bookmarkStart w:id="1281" w:name="Tc_9OIJMIFIQE68ILXDbFHSWw_11_0"/>
      <w:bookmarkStart w:id="1282" w:name="Tc_TIyKaQRH40mDs6qmUWl_SA_10_36"/>
      <w:bookmarkStart w:id="1283" w:name="Tc_g6fQzXF1WUWRSYYydqTRVg_10_30"/>
      <w:bookmarkStart w:id="1284" w:name="Tc_Sif6Ebd6506keGuv40Cr5g_10_25"/>
      <w:bookmarkStart w:id="1285" w:name="Tc_xnouleO8nk6RYbSYLh3Aag_10_22"/>
      <w:bookmarkStart w:id="1286" w:name="Tc_xE6ywbD3-EWvBGYtk_PeRw_10_20"/>
      <w:bookmarkStart w:id="1287" w:name="Tc_FXLsX-tTkEWlm9Hkh0Oh7g_10_17"/>
      <w:bookmarkStart w:id="1288" w:name="Tc_a2BCiLLbp0-zrG29XT6Eug_10_15"/>
      <w:bookmarkStart w:id="1289" w:name="Tc_JJxIVBO0P0CvMDcNSL2pbQ_10_12"/>
      <w:bookmarkStart w:id="1290" w:name="Tc_AVYLXmbLX0uaHQaS_Z0FdQ_10_10"/>
      <w:bookmarkStart w:id="1291" w:name="Tc_3fm8n44OxEG56USxt1nEHw_10_7"/>
      <w:bookmarkStart w:id="1292" w:name="Tc_tioIE-PutkeJ8HOwr4Nhhg_10_5"/>
      <w:bookmarkStart w:id="1293" w:name="Tc_OH3dKQ_yrEajccJJbhdd5w_10_2"/>
      <w:bookmarkStart w:id="1294" w:name="Tc_JcwcmNgqDU6MVlYBjqEYuQ_10_0"/>
      <w:bookmarkStart w:id="1295" w:name="Tc_HoeT4YwdAUq3AckLVKvs1Q_9_36"/>
      <w:bookmarkStart w:id="1296" w:name="Tc_28-jR37jrkqf1VfTWNW7wQ_9_33"/>
      <w:bookmarkStart w:id="1297" w:name="Tc_ByuOvio-VUigqrGNk3NatA_9_25"/>
      <w:bookmarkStart w:id="1298" w:name="Tc_UFteGJOAc0KVg0Y9_7VfdA_9_22"/>
      <w:bookmarkStart w:id="1299" w:name="Tc_9FumIBBnVE-MZOD20xRcFQ_9_20"/>
      <w:bookmarkStart w:id="1300" w:name="Tc_oa-dcQsVtk-Q-7k0lMSJvQ_9_17"/>
      <w:bookmarkStart w:id="1301" w:name="Tc_L7ljUOTFmk-w6NY6mD7bRQ_9_15"/>
      <w:bookmarkStart w:id="1302" w:name="Tc_hs8a_tYDIEKobLgt6rNtBA_9_12"/>
      <w:bookmarkStart w:id="1303" w:name="Tc_AkM8kI94uEKdTJlphUqMBQ_9_10"/>
      <w:bookmarkStart w:id="1304" w:name="Tc_9kldk6GjU0mTyux5YlopsQ_9_7"/>
      <w:bookmarkStart w:id="1305" w:name="Tc_EwMGIh-5FEKoADiJT_y0Hw_9_5"/>
      <w:bookmarkStart w:id="1306" w:name="Tc_YNAOXsh1PkGbD4YQ9kSC9A_9_2"/>
      <w:bookmarkStart w:id="1307" w:name="Tc_D8P7DUNITUWIhoepC58nZg_9_0"/>
      <w:bookmarkStart w:id="1308" w:name="Tc_SCQz09Y-o0Kggr6qa2cXVw_8_38"/>
      <w:bookmarkStart w:id="1309" w:name="Tc_iXYvE_UFvECQJUWRDVgQ-Q_8_35"/>
      <w:bookmarkStart w:id="1310" w:name="Tc_NoONLLaoCkCCCendMthQIg_8_32"/>
      <w:bookmarkStart w:id="1311" w:name="Tc_WKrDN2_69ECkdYbh5ssI-Q_8_30"/>
      <w:bookmarkStart w:id="1312" w:name="Tc_iLg_evpmA067ChEhDAV1UA_8_29"/>
      <w:bookmarkStart w:id="1313" w:name="Tc_zKXb6tNMGE60dRmEdPfmMw_8_25"/>
      <w:bookmarkStart w:id="1314" w:name="Tc_wB3N2NPy4EiDxa53GFjGqA_8_24"/>
      <w:bookmarkStart w:id="1315" w:name="Tc_zUXJKOYiT0mBXymFY9nFWg_8_20"/>
      <w:bookmarkStart w:id="1316" w:name="Tc_cerSRKEV9E2g-HFwWgH4gg_8_19"/>
      <w:bookmarkStart w:id="1317" w:name="Tc_J4g0_GSIgUOFYcBgJStbfw_8_15"/>
      <w:bookmarkStart w:id="1318" w:name="Tc_JTPiKDjXG0WgHlUF5bwdHQ_8_14"/>
      <w:bookmarkStart w:id="1319" w:name="Tc_t06KSpnAX0GBcenEsn1ZBg_8_10"/>
      <w:bookmarkStart w:id="1320" w:name="Tc_TXpWFsVe3kWY43j8TYqVOw_8_9"/>
      <w:bookmarkStart w:id="1321" w:name="Tc_JNzN7eiVbEeiDUeBu6iTtg_8_5"/>
      <w:bookmarkStart w:id="1322" w:name="Tc_fbFk9G880E6alRlfR5-kLA_8_4"/>
      <w:bookmarkStart w:id="1323" w:name="Tc_4LrN08SX0ESrqMF5-THTlQ_8_0"/>
      <w:bookmarkStart w:id="1324" w:name="Tc_gAoCoOvPAkuoA6U65ICe3Q_7_38"/>
      <w:bookmarkStart w:id="1325" w:name="Tc_nVKX4u_IakijAT6LylCjLA_7_35"/>
      <w:bookmarkStart w:id="1326" w:name="Tc_gKgkZbf_kUCH9rJzamGfrg_7_32"/>
      <w:bookmarkStart w:id="1327" w:name="Tc_NUib9iYkpUa9JmWyMMvDDA_7_29"/>
      <w:bookmarkStart w:id="1328" w:name="Tc_6NDZczgqkEy51X4MIerPZg_7_27"/>
      <w:bookmarkStart w:id="1329" w:name="Tc_eHCH-1k_ck2C2Cs_1mDVTQ_7_24"/>
      <w:bookmarkStart w:id="1330" w:name="Tc_0XL-y741lUukzlycMe5wIw_7_22"/>
      <w:bookmarkStart w:id="1331" w:name="Tc_pDfrX91ekU24ulzeV8WbZA_7_19"/>
      <w:bookmarkStart w:id="1332" w:name="Tc_CSGrfPC7c020OM4agUCRgA_7_17"/>
      <w:bookmarkStart w:id="1333" w:name="Tc_KWbyNhsoD0WbMjN6-BmuWQ_7_14"/>
      <w:bookmarkStart w:id="1334" w:name="Tc_8G3h6orlrUau6KNZC0kbKQ_7_12"/>
      <w:bookmarkStart w:id="1335" w:name="Tc_ZZ7HUWw1dE2aFmD0xY7UNw_7_9"/>
      <w:bookmarkStart w:id="1336" w:name="Tc_li6lc-2dikC-6StKwHjDOg_7_7"/>
      <w:bookmarkStart w:id="1337" w:name="Tc_YJSAapLockaSsbB1aIjZWQ_7_4"/>
      <w:bookmarkStart w:id="1338" w:name="Tc_l_3CbSR8VEqG7lrxmM3Byg_7_2"/>
      <w:bookmarkStart w:id="1339" w:name="Tc_2XpRq47dV0OuJNwtqSq_Fg_6_38"/>
      <w:bookmarkStart w:id="1340" w:name="Tc_oavij4ptPkCyAljxyKvKFg_6_35"/>
      <w:bookmarkStart w:id="1341" w:name="Tc_Ml2bcr7zA0GQjVscpbZtIA_6_32"/>
      <w:bookmarkStart w:id="1342" w:name="Tc_2fjoo6ah1kaVioWKDqjw3Q_6_27"/>
      <w:bookmarkStart w:id="1343" w:name="Tc_c0mbe4WGgkGMKdhURiqZrA_6_22"/>
      <w:bookmarkStart w:id="1344" w:name="Tc_PNmlq6Pbl0WhWZRSV0xbYw_6_17"/>
      <w:bookmarkStart w:id="1345" w:name="Tc_Urok3RKZ7EmEucdnq_xQGw_6_12"/>
      <w:bookmarkStart w:id="1346" w:name="Tc_GaXC-PT3e0CGtjfBMkL77Q_6_7"/>
      <w:bookmarkStart w:id="1347" w:name="Tc_ZW1YlGELZEildoYQHKKKTQ_6_2"/>
      <w:bookmarkStart w:id="1348" w:name="Tc_fLjAv2enfUSxFcgHkiUamA_5_38"/>
      <w:bookmarkStart w:id="1349" w:name="Tc_RvhlyQnQJ067n1FS6K-dMQ_5_32"/>
      <w:bookmarkStart w:id="1350" w:name="Tc_M1qcgEEAi0ORlSt9XvBB7g_5_27"/>
      <w:bookmarkStart w:id="1351" w:name="Tc_9CWRyADVOEqimGDZvzv9PA_5_22"/>
      <w:bookmarkStart w:id="1352" w:name="Tc_LbZ7DRhYe0a7cbWLuT6Zng_5_17"/>
      <w:bookmarkStart w:id="1353" w:name="Tc_hk0-DPchTkiTSTaVCB6XRw_5_12"/>
      <w:bookmarkStart w:id="1354" w:name="Tc_FYtVGhsLvkiUbaenj-4-iQ_5_7"/>
      <w:bookmarkStart w:id="1355" w:name="Tc_KY_i5p7sBUuYu5zFMYNPGA_5_2"/>
      <w:bookmarkStart w:id="1356" w:name="Tc__IpZ6-K9OUSp3F9-9inQUQ_4_22"/>
      <w:bookmarkStart w:id="1357" w:name="Tc_C8cRitBz_USDKyZCq0UjIQ_4_17"/>
      <w:bookmarkStart w:id="1358" w:name="Tc_HMdwnz5JrkGFEYtD5nbUZA_4_12"/>
      <w:bookmarkStart w:id="1359" w:name="Tc_zsC5IT5ogUaLdgTBpX0h6w_4_7"/>
      <w:bookmarkStart w:id="1360" w:name="Tc_v7cMfc34xkSGEoTVJhG5Fg_4_2"/>
      <w:bookmarkStart w:id="1361" w:name="Tc_2Mg8eXzIVUetwrFLO4aSPA_3_22"/>
      <w:bookmarkStart w:id="1362" w:name="Tc_lBc9Nwz-IEmA79oqoyP_Yg_3_17"/>
      <w:bookmarkStart w:id="1363" w:name="Tc_Mllv0BX2fUG5NldZxUWSCQ_3_12"/>
      <w:bookmarkStart w:id="1364" w:name="Tc_It4KJEV3FE-d_A_Yl85uWg_3_7"/>
      <w:bookmarkStart w:id="1365" w:name="Tc_Yak-ytqUbEeLuFIc5LZyKA_3_2"/>
      <w:bookmarkStart w:id="1366" w:name="Tc_DxMD5jxwlkmrWOzJoWJbcQ_2_22"/>
      <w:bookmarkStart w:id="1367" w:name="Tc_4kKrcskcbkaCfsWxz6oOTw_2_17"/>
      <w:bookmarkStart w:id="1368" w:name="Tc_R055wBci7EulV38qRDwCkg_2_12"/>
      <w:bookmarkStart w:id="1369" w:name="Tc_8Fmy6qAOCECOOgUZYxHqmQ_2_7"/>
      <w:bookmarkStart w:id="1370" w:name="Tc_LPLh6jGgVE-mp8lgoAhxLw_2_2"/>
      <w:bookmarkStart w:id="1371" w:name="Tc_c6Byas1SE0qMZzz9GbxfrQ_1_2"/>
      <w:bookmarkStart w:id="1372" w:name="_f9a38f81_877c_4a54_bcb4_4779b92d0b5c"/>
      <w:bookmarkStart w:id="1373" w:name="Tc_kLeCUtV1KE-pTKWRNtxqJw_14_38"/>
      <w:bookmarkStart w:id="1374" w:name="Tc_4XZ7ApjpqkyTJCz5mtslag_14_35"/>
      <w:bookmarkStart w:id="1375" w:name="Tc_mEQzjB8tsUy1L0Tnn2Yczg_14_32"/>
      <w:bookmarkStart w:id="1376" w:name="Tc_6RjWMQVa4UGiKkuvgZII6Q_14_29"/>
      <w:bookmarkStart w:id="1377" w:name="Tc_UfAO8hxTsU6QbPyH7sVe1Q_14_25"/>
      <w:bookmarkStart w:id="1378" w:name="Tc_Mcgc99ROZE-m9W3UwPxdxQ_14_24"/>
      <w:bookmarkStart w:id="1379" w:name="Tc_ORIX4RVQaE6_zwEavKg1lQ_14_20"/>
      <w:bookmarkStart w:id="1380" w:name="Tc_-xEkmJ8ClES86D2WOJoOsA_14_19"/>
      <w:bookmarkStart w:id="1381" w:name="Tc_DqRUtMnnDkS_4kgnB-9mxw_14_15"/>
      <w:bookmarkStart w:id="1382" w:name="Tc_1L7ZRRehlE2XdzjQpJrNmg_14_14"/>
      <w:bookmarkStart w:id="1383" w:name="Tc_qblrYrx6TEywAW0XBSrT6w_14_10"/>
      <w:bookmarkStart w:id="1384" w:name="Tc_v74auFC2Ek2QSIyGlkAWrQ_14_9"/>
      <w:bookmarkStart w:id="1385" w:name="Tc_4xv3uLgqNkejPLM0CkClKA_14_5"/>
      <w:bookmarkStart w:id="1386" w:name="Tc_VxO6d6ptSUSeVvhdXbfStQ_14_4"/>
      <w:bookmarkStart w:id="1387" w:name="Tc_KNacPm9eHkmjp3DB4yKqhA_14_0"/>
      <w:bookmarkStart w:id="1388" w:name="Tc_yW__OTEbekeQGq9Hm8xrjw_13_33"/>
      <w:bookmarkStart w:id="1389" w:name="Tc_O76sAP7440mWaIFGmdxgnQ_13_30"/>
      <w:bookmarkStart w:id="1390" w:name="Tc_2pQOC0FcUkym5yZfgtKvpg_13_27"/>
      <w:bookmarkStart w:id="1391" w:name="Tc_5P6gqizDwEiZTYjapJHFnw_13_25"/>
      <w:bookmarkStart w:id="1392" w:name="Tc_VdRKl5FvhkaoCtfcnhvhlQ_13_22"/>
      <w:bookmarkStart w:id="1393" w:name="Tc_nOeetzRNNEaoT-Sz3DxdPA_13_20"/>
      <w:bookmarkStart w:id="1394" w:name="Tc_SxydTXbgbkOnXk2vc2ILBg_13_17"/>
      <w:bookmarkStart w:id="1395" w:name="Tc_y9um_FM_sUqY0BPWiusdlQ_13_15"/>
      <w:bookmarkStart w:id="1396" w:name="Tc_hAx8LUe_5EK9kyjB3cn2wA_13_12"/>
      <w:bookmarkStart w:id="1397" w:name="Tc_QpQd4JAo50-T9CYAvVPfYw_13_10"/>
      <w:bookmarkStart w:id="1398" w:name="Tc_deimdFw0vUWh9vvzKieV1g_13_7"/>
      <w:bookmarkStart w:id="1399" w:name="Tc_u4MA6KAB1UWljG5EIWCOHQ_13_5"/>
      <w:bookmarkStart w:id="1400" w:name="Tc_gtmKBWS2dUacF2oi2zNzTw_13_2"/>
      <w:bookmarkStart w:id="1401" w:name="Tc_gmW30fTy5Em_5ACI8GjoQA_13_0"/>
      <w:bookmarkStart w:id="1402" w:name="Tc_7t6xvQ3TmE-BCXQUJP-XNQ_12_36"/>
      <w:bookmarkStart w:id="1403" w:name="Tc_midk928NEES8r5-hfzMnCQ_12_30"/>
      <w:bookmarkStart w:id="1404" w:name="Tc_brK7eAzPzU-DEbPWqnstVg_12_27"/>
      <w:bookmarkStart w:id="1405" w:name="Tc_0o-Zw6pKQkCoWGRbYVIeow_12_25"/>
      <w:bookmarkStart w:id="1406" w:name="Tc_LJx1xO4H9U-i-WuqpoLshQ_12_22"/>
      <w:bookmarkStart w:id="1407" w:name="Tc_DDsY03_0r06xsBhPCVEzSQ_12_20"/>
      <w:bookmarkStart w:id="1408" w:name="Tc_YVSyj9z3mkKG082Jm8KQpA_12_17"/>
      <w:bookmarkStart w:id="1409" w:name="Tc_otYvfBvVKk-Ua0-1CuP4RQ_12_15"/>
      <w:bookmarkStart w:id="1410" w:name="Tc_y57j6xJE6ke3F1lZmI5chg_12_12"/>
      <w:bookmarkStart w:id="1411" w:name="Tc_V1ieCE8ZE0iRBZBZoQvvyg_12_10"/>
      <w:bookmarkStart w:id="1412" w:name="Tc_cMOcNI_RU0qpHlD3K_I_zw_12_7"/>
      <w:bookmarkStart w:id="1413" w:name="Tc_FdaYU_0tvE6385hZzUFA-Q_12_5"/>
      <w:bookmarkStart w:id="1414" w:name="Tc_ER0t7s9I_EO6mzE3S_xf8Q_12_2"/>
      <w:bookmarkStart w:id="1415" w:name="Tc_vPOquW81zUq08CYfT3xQKw_12_0"/>
      <w:bookmarkStart w:id="1416" w:name="Tc_OjbwKGcXOkak1iZZB1vqXA_11_39"/>
      <w:bookmarkStart w:id="1417" w:name="Tc_RDKRH-WiR0yBPgu57oT_jg_11_36"/>
      <w:bookmarkStart w:id="1418" w:name="Tc_Nzxeb-0v40Oe2rHcSLcXCg_11_30"/>
      <w:bookmarkStart w:id="1419" w:name="Tc_Tv6cJPkRXE6As3nDGvw2NA_11_25"/>
      <w:bookmarkStart w:id="1420" w:name="Tc_E29FQEX_ZkG8E65nFCmQ4A_11_22"/>
      <w:bookmarkStart w:id="1421" w:name="Tc_Oz3gvyKqD0iMu8v9lP0_-w_11_20"/>
      <w:bookmarkStart w:id="1422" w:name="Tc_p3iEr08PrE-cFb40fmEaWQ_11_15"/>
      <w:bookmarkStart w:id="1423" w:name="Tc_di3S8EoIrUKb0JYprt6eag_11_12"/>
      <w:bookmarkStart w:id="1424" w:name="Tc_-02Ij0lLrE-NqZccopRp_Q_11_10"/>
      <w:bookmarkStart w:id="1425" w:name="Tc_vi5_D0OlKkCrxJifJmvelQ_11_7"/>
      <w:bookmarkStart w:id="1426" w:name="Tc_Jmnhqyzeh0eY8bWU-UqIew_11_5"/>
      <w:bookmarkStart w:id="1427" w:name="Tc_F0CwB5Pd0UG28xk9u04aug_11_2"/>
      <w:bookmarkStart w:id="1428" w:name="Tc_9OIJMIFIQE68ILXDbFHSWw_11_0"/>
      <w:bookmarkStart w:id="1429" w:name="Tc_TIyKaQRH40mDs6qmUWl_SA_10_36"/>
      <w:bookmarkStart w:id="1430" w:name="Tc_g6fQzXF1WUWRSYYydqTRVg_10_30"/>
      <w:bookmarkStart w:id="1431" w:name="Tc_Sif6Ebd6506keGuv40Cr5g_10_25"/>
      <w:bookmarkStart w:id="1432" w:name="Tc_xnouleO8nk6RYbSYLh3Aag_10_22"/>
      <w:bookmarkStart w:id="1433" w:name="Tc_xE6ywbD3-EWvBGYtk_PeRw_10_20"/>
      <w:bookmarkStart w:id="1434" w:name="Tc_FXLsX-tTkEWlm9Hkh0Oh7g_10_17"/>
      <w:bookmarkStart w:id="1435" w:name="Tc_a2BCiLLbp0-zrG29XT6Eug_10_15"/>
      <w:bookmarkStart w:id="1436" w:name="Tc_JJxIVBO0P0CvMDcNSL2pbQ_10_12"/>
      <w:bookmarkStart w:id="1437" w:name="Tc_AVYLXmbLX0uaHQaS_Z0FdQ_10_10"/>
      <w:bookmarkStart w:id="1438" w:name="Tc_3fm8n44OxEG56USxt1nEHw_10_7"/>
      <w:bookmarkStart w:id="1439" w:name="Tc_tioIE-PutkeJ8HOwr4Nhhg_10_5"/>
      <w:bookmarkStart w:id="1440" w:name="Tc_OH3dKQ_yrEajccJJbhdd5w_10_2"/>
      <w:bookmarkStart w:id="1441" w:name="Tc_JcwcmNgqDU6MVlYBjqEYuQ_10_0"/>
      <w:bookmarkStart w:id="1442" w:name="Tc_HoeT4YwdAUq3AckLVKvs1Q_9_36"/>
      <w:bookmarkStart w:id="1443" w:name="Tc_28-jR37jrkqf1VfTWNW7wQ_9_33"/>
      <w:bookmarkStart w:id="1444" w:name="Tc_ByuOvio-VUigqrGNk3NatA_9_25"/>
      <w:bookmarkStart w:id="1445" w:name="Tc_UFteGJOAc0KVg0Y9_7VfdA_9_22"/>
      <w:bookmarkStart w:id="1446" w:name="Tc_9FumIBBnVE-MZOD20xRcFQ_9_20"/>
      <w:bookmarkStart w:id="1447" w:name="Tc_oa-dcQsVtk-Q-7k0lMSJvQ_9_17"/>
      <w:bookmarkStart w:id="1448" w:name="Tc_L7ljUOTFmk-w6NY6mD7bRQ_9_15"/>
      <w:bookmarkStart w:id="1449" w:name="Tc_hs8a_tYDIEKobLgt6rNtBA_9_12"/>
      <w:bookmarkStart w:id="1450" w:name="Tc_AkM8kI94uEKdTJlphUqMBQ_9_10"/>
      <w:bookmarkStart w:id="1451" w:name="Tc_9kldk6GjU0mTyux5YlopsQ_9_7"/>
      <w:bookmarkStart w:id="1452" w:name="Tc_EwMGIh-5FEKoADiJT_y0Hw_9_5"/>
      <w:bookmarkStart w:id="1453" w:name="Tc_YNAOXsh1PkGbD4YQ9kSC9A_9_2"/>
      <w:bookmarkStart w:id="1454" w:name="Tc_D8P7DUNITUWIhoepC58nZg_9_0"/>
      <w:bookmarkStart w:id="1455" w:name="Tc_SCQz09Y-o0Kggr6qa2cXVw_8_38"/>
      <w:bookmarkStart w:id="1456" w:name="Tc_iXYvE_UFvECQJUWRDVgQ-Q_8_35"/>
      <w:bookmarkStart w:id="1457" w:name="Tc_NoONLLaoCkCCCendMthQIg_8_32"/>
      <w:bookmarkStart w:id="1458" w:name="Tc_WKrDN2_69ECkdYbh5ssI-Q_8_30"/>
      <w:bookmarkStart w:id="1459" w:name="Tc_iLg_evpmA067ChEhDAV1UA_8_29"/>
      <w:bookmarkStart w:id="1460" w:name="Tc_zKXb6tNMGE60dRmEdPfmMw_8_25"/>
      <w:bookmarkStart w:id="1461" w:name="Tc_wB3N2NPy4EiDxa53GFjGqA_8_24"/>
      <w:bookmarkStart w:id="1462" w:name="Tc_zUXJKOYiT0mBXymFY9nFWg_8_20"/>
      <w:bookmarkStart w:id="1463" w:name="Tc_cerSRKEV9E2g-HFwWgH4gg_8_19"/>
      <w:bookmarkStart w:id="1464" w:name="Tc_J4g0_GSIgUOFYcBgJStbfw_8_15"/>
      <w:bookmarkStart w:id="1465" w:name="Tc_JTPiKDjXG0WgHlUF5bwdHQ_8_14"/>
      <w:bookmarkStart w:id="1466" w:name="Tc_t06KSpnAX0GBcenEsn1ZBg_8_10"/>
      <w:bookmarkStart w:id="1467" w:name="Tc_TXpWFsVe3kWY43j8TYqVOw_8_9"/>
      <w:bookmarkStart w:id="1468" w:name="Tc_JNzN7eiVbEeiDUeBu6iTtg_8_5"/>
      <w:bookmarkStart w:id="1469" w:name="Tc_fbFk9G880E6alRlfR5-kLA_8_4"/>
      <w:bookmarkStart w:id="1470" w:name="Tc_4LrN08SX0ESrqMF5-THTlQ_8_0"/>
      <w:bookmarkStart w:id="1471" w:name="Tc_gAoCoOvPAkuoA6U65ICe3Q_7_38"/>
      <w:bookmarkStart w:id="1472" w:name="Tc_nVKX4u_IakijAT6LylCjLA_7_35"/>
      <w:bookmarkStart w:id="1473" w:name="Tc_gKgkZbf_kUCH9rJzamGfrg_7_32"/>
      <w:bookmarkStart w:id="1474" w:name="Tc_NUib9iYkpUa9JmWyMMvDDA_7_29"/>
      <w:bookmarkStart w:id="1475" w:name="Tc_6NDZczgqkEy51X4MIerPZg_7_27"/>
      <w:bookmarkStart w:id="1476" w:name="Tc_eHCH-1k_ck2C2Cs_1mDVTQ_7_24"/>
      <w:bookmarkStart w:id="1477" w:name="Tc_0XL-y741lUukzlycMe5wIw_7_22"/>
      <w:bookmarkStart w:id="1478" w:name="Tc_pDfrX91ekU24ulzeV8WbZA_7_19"/>
      <w:bookmarkStart w:id="1479" w:name="Tc_CSGrfPC7c020OM4agUCRgA_7_17"/>
      <w:bookmarkStart w:id="1480" w:name="Tc_KWbyNhsoD0WbMjN6-BmuWQ_7_14"/>
      <w:bookmarkStart w:id="1481" w:name="Tc_8G3h6orlrUau6KNZC0kbKQ_7_12"/>
      <w:bookmarkStart w:id="1482" w:name="Tc_ZZ7HUWw1dE2aFmD0xY7UNw_7_9"/>
      <w:bookmarkStart w:id="1483" w:name="Tc_li6lc-2dikC-6StKwHjDOg_7_7"/>
      <w:bookmarkStart w:id="1484" w:name="Tc_YJSAapLockaSsbB1aIjZWQ_7_4"/>
      <w:bookmarkStart w:id="1485" w:name="Tc_l_3CbSR8VEqG7lrxmM3Byg_7_2"/>
      <w:bookmarkStart w:id="1486" w:name="Tc_2XpRq47dV0OuJNwtqSq_Fg_6_38"/>
      <w:bookmarkStart w:id="1487" w:name="Tc_oavij4ptPkCyAljxyKvKFg_6_35"/>
      <w:bookmarkStart w:id="1488" w:name="Tc_Ml2bcr7zA0GQjVscpbZtIA_6_32"/>
      <w:bookmarkStart w:id="1489" w:name="Tc_2fjoo6ah1kaVioWKDqjw3Q_6_27"/>
      <w:bookmarkStart w:id="1490" w:name="Tc_c0mbe4WGgkGMKdhURiqZrA_6_22"/>
      <w:bookmarkStart w:id="1491" w:name="Tc_PNmlq6Pbl0WhWZRSV0xbYw_6_17"/>
      <w:bookmarkStart w:id="1492" w:name="Tc_Urok3RKZ7EmEucdnq_xQGw_6_12"/>
      <w:bookmarkStart w:id="1493" w:name="Tc_GaXC-PT3e0CGtjfBMkL77Q_6_7"/>
      <w:bookmarkStart w:id="1494" w:name="Tc_ZW1YlGELZEildoYQHKKKTQ_6_2"/>
      <w:bookmarkStart w:id="1495" w:name="Tc_fLjAv2enfUSxFcgHkiUamA_5_38"/>
      <w:bookmarkStart w:id="1496" w:name="Tc_RvhlyQnQJ067n1FS6K-dMQ_5_32"/>
      <w:bookmarkStart w:id="1497" w:name="Tc_M1qcgEEAi0ORlSt9XvBB7g_5_27"/>
      <w:bookmarkStart w:id="1498" w:name="Tc_9CWRyADVOEqimGDZvzv9PA_5_22"/>
      <w:bookmarkStart w:id="1499" w:name="Tc_LbZ7DRhYe0a7cbWLuT6Zng_5_17"/>
      <w:bookmarkStart w:id="1500" w:name="Tc_hk0-DPchTkiTSTaVCB6XRw_5_12"/>
      <w:bookmarkStart w:id="1501" w:name="Tc_FYtVGhsLvkiUbaenj-4-iQ_5_7"/>
      <w:bookmarkStart w:id="1502" w:name="Tc_KY_i5p7sBUuYu5zFMYNPGA_5_2"/>
      <w:bookmarkStart w:id="1503" w:name="Tc__IpZ6-K9OUSp3F9-9inQUQ_4_22"/>
      <w:bookmarkStart w:id="1504" w:name="Tc_C8cRitBz_USDKyZCq0UjIQ_4_17"/>
      <w:bookmarkStart w:id="1505" w:name="Tc_HMdwnz5JrkGFEYtD5nbUZA_4_12"/>
      <w:bookmarkStart w:id="1506" w:name="Tc_zsC5IT5ogUaLdgTBpX0h6w_4_7"/>
      <w:bookmarkStart w:id="1507" w:name="Tc_v7cMfc34xkSGEoTVJhG5Fg_4_2"/>
      <w:bookmarkStart w:id="1508" w:name="Tc_2Mg8eXzIVUetwrFLO4aSPA_3_22"/>
      <w:bookmarkStart w:id="1509" w:name="Tc_lBc9Nwz-IEmA79oqoyP_Yg_3_17"/>
      <w:bookmarkStart w:id="1510" w:name="Tc_Mllv0BX2fUG5NldZxUWSCQ_3_12"/>
      <w:bookmarkStart w:id="1511" w:name="Tc_It4KJEV3FE-d_A_Yl85uWg_3_7"/>
      <w:bookmarkStart w:id="1512" w:name="Tc_Yak-ytqUbEeLuFIc5LZyKA_3_2"/>
      <w:bookmarkStart w:id="1513" w:name="Tc_DxMD5jxwlkmrWOzJoWJbcQ_2_22"/>
      <w:bookmarkStart w:id="1514" w:name="Tc_4kKrcskcbkaCfsWxz6oOTw_2_17"/>
      <w:bookmarkStart w:id="1515" w:name="Tc_R055wBci7EulV38qRDwCkg_2_12"/>
      <w:bookmarkStart w:id="1516" w:name="Tc_8Fmy6qAOCECOOgUZYxHqmQ_2_7"/>
      <w:bookmarkStart w:id="1517" w:name="Tc_LPLh6jGgVE-mp8lgoAhxLw_2_2"/>
      <w:bookmarkStart w:id="1518" w:name="Tc_c6Byas1SE0qMZzz9GbxfrQ_1_2"/>
      <w:bookmarkStart w:id="1519" w:name="_f9a38f81_877c_4a54_bcb4_4779b92d0b5c"/>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p>
    <w:tbl>
      <w:tblPr>
        <w:tblW w:w="12560" w:type="dxa"/>
        <w:jc w:val="left"/>
        <w:tblInd w:w="0" w:type="dxa"/>
        <w:tblLayout w:type="fixed"/>
        <w:tblCellMar>
          <w:top w:w="0" w:type="dxa"/>
          <w:left w:w="0" w:type="dxa"/>
          <w:bottom w:w="0" w:type="dxa"/>
          <w:right w:w="0" w:type="dxa"/>
        </w:tblCellMar>
      </w:tblPr>
      <w:tblGrid>
        <w:gridCol w:w="811"/>
        <w:gridCol w:w="226"/>
        <w:gridCol w:w="451"/>
        <w:gridCol w:w="226"/>
        <w:gridCol w:w="170"/>
        <w:gridCol w:w="356"/>
        <w:gridCol w:w="286"/>
        <w:gridCol w:w="451"/>
        <w:gridCol w:w="226"/>
        <w:gridCol w:w="170"/>
        <w:gridCol w:w="356"/>
        <w:gridCol w:w="286"/>
        <w:gridCol w:w="451"/>
        <w:gridCol w:w="226"/>
        <w:gridCol w:w="170"/>
        <w:gridCol w:w="356"/>
        <w:gridCol w:w="286"/>
        <w:gridCol w:w="451"/>
        <w:gridCol w:w="226"/>
        <w:gridCol w:w="170"/>
        <w:gridCol w:w="356"/>
        <w:gridCol w:w="286"/>
        <w:gridCol w:w="451"/>
        <w:gridCol w:w="226"/>
        <w:gridCol w:w="170"/>
        <w:gridCol w:w="356"/>
        <w:gridCol w:w="286"/>
        <w:gridCol w:w="496"/>
        <w:gridCol w:w="226"/>
        <w:gridCol w:w="170"/>
        <w:gridCol w:w="356"/>
        <w:gridCol w:w="226"/>
        <w:gridCol w:w="166"/>
        <w:gridCol w:w="496"/>
        <w:gridCol w:w="109"/>
        <w:gridCol w:w="186"/>
        <w:gridCol w:w="610"/>
        <w:gridCol w:w="226"/>
        <w:gridCol w:w="194"/>
        <w:gridCol w:w="617"/>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14985" cy="175260"/>
                      <wp:effectExtent l="0" t="0" r="0" b="0"/>
                      <wp:wrapNone/>
                      <wp:docPr id="151" name="Frame15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43510" cy="175260"/>
                      <wp:effectExtent l="0" t="0" r="0" b="0"/>
                      <wp:wrapNone/>
                      <wp:docPr id="152" name="Frame1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86385" cy="175260"/>
                      <wp:effectExtent l="0" t="0" r="0" b="0"/>
                      <wp:wrapNone/>
                      <wp:docPr id="153" name="Frame15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3510" cy="175260"/>
                      <wp:effectExtent l="0" t="0" r="0" b="0"/>
                      <wp:wrapNone/>
                      <wp:docPr id="154" name="Frame1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07950" cy="175260"/>
                      <wp:effectExtent l="0" t="0" r="0" b="0"/>
                      <wp:wrapNone/>
                      <wp:docPr id="155" name="Frame155"/>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26060" cy="175260"/>
                      <wp:effectExtent l="0" t="0" r="0" b="0"/>
                      <wp:wrapNone/>
                      <wp:docPr id="156" name="Frame15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1610" cy="175260"/>
                      <wp:effectExtent l="0" t="0" r="0" b="0"/>
                      <wp:wrapNone/>
                      <wp:docPr id="157" name="Frame15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86385" cy="175260"/>
                      <wp:effectExtent l="0" t="0" r="0" b="0"/>
                      <wp:wrapNone/>
                      <wp:docPr id="158" name="Frame15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3510" cy="175260"/>
                      <wp:effectExtent l="0" t="0" r="0" b="0"/>
                      <wp:wrapNone/>
                      <wp:docPr id="159" name="Frame1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07950" cy="175260"/>
                      <wp:effectExtent l="0" t="0" r="0" b="0"/>
                      <wp:wrapNone/>
                      <wp:docPr id="160" name="Frame16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6060" cy="175260"/>
                      <wp:effectExtent l="0" t="0" r="0" b="0"/>
                      <wp:wrapNone/>
                      <wp:docPr id="161" name="Frame16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1610" cy="175260"/>
                      <wp:effectExtent l="0" t="0" r="0" b="0"/>
                      <wp:wrapNone/>
                      <wp:docPr id="162" name="Frame16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86385" cy="175260"/>
                      <wp:effectExtent l="0" t="0" r="0" b="0"/>
                      <wp:wrapNone/>
                      <wp:docPr id="163" name="Frame16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3510" cy="175260"/>
                      <wp:effectExtent l="0" t="0" r="0" b="0"/>
                      <wp:wrapNone/>
                      <wp:docPr id="164" name="Frame1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07950" cy="175260"/>
                      <wp:effectExtent l="0" t="0" r="0" b="0"/>
                      <wp:wrapNone/>
                      <wp:docPr id="165" name="Frame165"/>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26060" cy="175260"/>
                      <wp:effectExtent l="0" t="0" r="0" b="0"/>
                      <wp:wrapNone/>
                      <wp:docPr id="166" name="Frame16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81610" cy="175260"/>
                      <wp:effectExtent l="0" t="0" r="0" b="0"/>
                      <wp:wrapNone/>
                      <wp:docPr id="167" name="Frame16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86385" cy="175260"/>
                      <wp:effectExtent l="0" t="0" r="0" b="0"/>
                      <wp:wrapNone/>
                      <wp:docPr id="168" name="Frame16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43510" cy="175260"/>
                      <wp:effectExtent l="0" t="0" r="0" b="0"/>
                      <wp:wrapNone/>
                      <wp:docPr id="169" name="Frame1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07950" cy="175260"/>
                      <wp:effectExtent l="0" t="0" r="0" b="0"/>
                      <wp:wrapNone/>
                      <wp:docPr id="170" name="Frame17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6060" cy="175260"/>
                      <wp:effectExtent l="0" t="0" r="0" b="0"/>
                      <wp:wrapNone/>
                      <wp:docPr id="171" name="Frame17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81610" cy="175260"/>
                      <wp:effectExtent l="0" t="0" r="0" b="0"/>
                      <wp:wrapNone/>
                      <wp:docPr id="172" name="Frame17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86385" cy="175260"/>
                      <wp:effectExtent l="0" t="0" r="0" b="0"/>
                      <wp:wrapNone/>
                      <wp:docPr id="173" name="Frame17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43510" cy="175260"/>
                      <wp:effectExtent l="0" t="0" r="0" b="0"/>
                      <wp:wrapNone/>
                      <wp:docPr id="174" name="Frame1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07950" cy="175260"/>
                      <wp:effectExtent l="0" t="0" r="0" b="0"/>
                      <wp:wrapNone/>
                      <wp:docPr id="175" name="Frame175"/>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26060" cy="175260"/>
                      <wp:effectExtent l="0" t="0" r="0" b="0"/>
                      <wp:wrapNone/>
                      <wp:docPr id="176" name="Frame17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1610" cy="175260"/>
                      <wp:effectExtent l="0" t="0" r="0" b="0"/>
                      <wp:wrapNone/>
                      <wp:docPr id="177" name="Frame17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14960" cy="175260"/>
                      <wp:effectExtent l="0" t="0" r="0" b="0"/>
                      <wp:wrapNone/>
                      <wp:docPr id="178" name="Frame178"/>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3510" cy="175260"/>
                      <wp:effectExtent l="0" t="0" r="0" b="0"/>
                      <wp:wrapNone/>
                      <wp:docPr id="179" name="Frame1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07950" cy="175260"/>
                      <wp:effectExtent l="0" t="0" r="0" b="0"/>
                      <wp:wrapNone/>
                      <wp:docPr id="180" name="Frame18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26060" cy="175260"/>
                      <wp:effectExtent l="0" t="0" r="0" b="0"/>
                      <wp:wrapNone/>
                      <wp:docPr id="181" name="Frame18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3510" cy="175260"/>
                      <wp:effectExtent l="0" t="0" r="0" b="0"/>
                      <wp:wrapNone/>
                      <wp:docPr id="182" name="Frame1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05410" cy="175260"/>
                      <wp:effectExtent l="0" t="0" r="0" b="0"/>
                      <wp:wrapNone/>
                      <wp:docPr id="183" name="Frame18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14960" cy="175260"/>
                      <wp:effectExtent l="0" t="0" r="0" b="0"/>
                      <wp:wrapNone/>
                      <wp:docPr id="184" name="Frame18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18110" cy="175260"/>
                      <wp:effectExtent l="0" t="0" r="0" b="0"/>
                      <wp:wrapNone/>
                      <wp:docPr id="186" name="Frame186"/>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87350" cy="175260"/>
                      <wp:effectExtent l="0" t="0" r="0" b="0"/>
                      <wp:wrapNone/>
                      <wp:docPr id="187" name="Frame187"/>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3510" cy="175260"/>
                      <wp:effectExtent l="0" t="0" r="0" b="0"/>
                      <wp:wrapNone/>
                      <wp:docPr id="188" name="Frame1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3190" cy="175260"/>
                      <wp:effectExtent l="0" t="0" r="0" b="0"/>
                      <wp:wrapNone/>
                      <wp:docPr id="189" name="Frame18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91795" cy="175260"/>
                      <wp:effectExtent l="0" t="0" r="0" b="0"/>
                      <wp:wrapNone/>
                      <wp:docPr id="190" name="Frame190"/>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1523" w:type="dxa"/>
            <w:gridSpan w:val="38"/>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2025</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E</w:t>
            </w:r>
          </w:p>
        </w:tc>
        <w:tc>
          <w:tcPr>
            <w:tcW w:w="286" w:type="dxa"/>
            <w:tcBorders/>
            <w:vAlign w:val="center"/>
          </w:tcPr>
          <w:p>
            <w:pPr>
              <w:pStyle w:val="TableContents"/>
              <w:bidi w:val="0"/>
              <w:spacing w:lineRule="auto" w:line="285" w:before="0" w:after="1"/>
              <w:ind w:left="0" w:right="0" w:hanging="0"/>
              <w:jc w:val="left"/>
              <w:rPr/>
            </w:pPr>
            <w:r>
              <w:rPr/>
              <w:t>  ​ ​</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F</w:t>
            </w:r>
          </w:p>
        </w:tc>
        <w:tc>
          <w:tcPr>
            <w:tcW w:w="286" w:type="dxa"/>
            <w:tcBorders/>
            <w:vAlign w:val="center"/>
          </w:tcPr>
          <w:p>
            <w:pPr>
              <w:pStyle w:val="TableContents"/>
              <w:bidi w:val="0"/>
              <w:spacing w:lineRule="auto" w:line="285" w:before="0" w:after="1"/>
              <w:ind w:left="0" w:right="0" w:hanging="0"/>
              <w:jc w:val="left"/>
              <w:rPr/>
            </w:pPr>
            <w:r>
              <w:rPr/>
              <w:t>  ​ ​</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G</w:t>
            </w:r>
          </w:p>
        </w:tc>
        <w:tc>
          <w:tcPr>
            <w:tcW w:w="286" w:type="dxa"/>
            <w:tcBorders/>
            <w:vAlign w:val="center"/>
          </w:tcPr>
          <w:p>
            <w:pPr>
              <w:pStyle w:val="TableContents"/>
              <w:bidi w:val="0"/>
              <w:spacing w:lineRule="auto" w:line="285" w:before="0" w:after="1"/>
              <w:ind w:left="0" w:right="0" w:hanging="0"/>
              <w:jc w:val="left"/>
              <w:rPr/>
            </w:pPr>
            <w:r>
              <w:rPr/>
              <w:t>  ​ ​</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H</w:t>
            </w:r>
          </w:p>
        </w:tc>
        <w:tc>
          <w:tcPr>
            <w:tcW w:w="286" w:type="dxa"/>
            <w:tcBorders/>
            <w:vAlign w:val="center"/>
          </w:tcPr>
          <w:p>
            <w:pPr>
              <w:pStyle w:val="TableContents"/>
              <w:bidi w:val="0"/>
              <w:spacing w:lineRule="auto" w:line="285" w:before="0" w:after="1"/>
              <w:ind w:left="0" w:right="0" w:hanging="0"/>
              <w:jc w:val="left"/>
              <w:rPr/>
            </w:pPr>
            <w:r>
              <w:rPr/>
              <w:t>  ​ ​</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Series I</w:t>
            </w:r>
          </w:p>
        </w:tc>
        <w:tc>
          <w:tcPr>
            <w:tcW w:w="286" w:type="dxa"/>
            <w:tcBorders/>
            <w:vAlign w:val="center"/>
          </w:tcPr>
          <w:p>
            <w:pPr>
              <w:pStyle w:val="TableContents"/>
              <w:bidi w:val="0"/>
              <w:spacing w:lineRule="auto" w:line="285" w:before="0" w:after="1"/>
              <w:ind w:left="0" w:right="0" w:hanging="0"/>
              <w:jc w:val="left"/>
              <w:rPr/>
            </w:pPr>
            <w:r>
              <w:rPr/>
              <w:t>  ​ ​</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17"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Convertible</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17"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Non-Redeemable</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17" w:type="dxa"/>
            <w:tcBorders/>
            <w:vAlign w:val="center"/>
          </w:tcPr>
          <w:p>
            <w:pPr>
              <w:pStyle w:val="TableContents"/>
              <w:bidi w:val="0"/>
              <w:spacing w:lineRule="auto" w:line="285" w:before="0" w:after="0"/>
              <w:ind w:left="0" w:right="0" w:hanging="0"/>
              <w:jc w:val="left"/>
              <w:rPr/>
            </w:pPr>
            <w:r>
              <w:rPr/>
              <w:t>​</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Preferred Stock</w:t>
            </w:r>
          </w:p>
        </w:tc>
        <w:tc>
          <w:tcPr>
            <w:tcW w:w="286" w:type="dxa"/>
            <w:tcBorders/>
            <w:vAlign w:val="center"/>
          </w:tcPr>
          <w:p>
            <w:pPr>
              <w:pStyle w:val="TableContents"/>
              <w:bidi w:val="0"/>
              <w:spacing w:lineRule="auto" w:line="285" w:before="0" w:after="0"/>
              <w:ind w:left="0" w:right="0" w:hanging="0"/>
              <w:jc w:val="left"/>
              <w:rPr/>
            </w:pPr>
            <w:r>
              <w:rPr/>
              <w:t>​</w:t>
            </w:r>
          </w:p>
        </w:tc>
        <w:tc>
          <w:tcPr>
            <w:tcW w:w="1248" w:type="dxa"/>
            <w:gridSpan w:val="4"/>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226" w:type="dxa"/>
            <w:tcBorders/>
            <w:vAlign w:val="center"/>
          </w:tcPr>
          <w:p>
            <w:pPr>
              <w:pStyle w:val="TableContents"/>
              <w:bidi w:val="0"/>
              <w:spacing w:lineRule="auto" w:line="285" w:before="0" w:after="0"/>
              <w:ind w:left="0" w:right="0" w:hanging="0"/>
              <w:jc w:val="left"/>
              <w:rPr/>
            </w:pPr>
            <w:r>
              <w:rPr/>
              <w:t>​</w:t>
            </w:r>
          </w:p>
        </w:tc>
        <w:tc>
          <w:tcPr>
            <w:tcW w:w="66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109" w:type="dxa"/>
            <w:tcBorders/>
            <w:vAlign w:val="center"/>
          </w:tcPr>
          <w:p>
            <w:pPr>
              <w:pStyle w:val="TableContents"/>
              <w:bidi w:val="0"/>
              <w:spacing w:lineRule="auto" w:line="285" w:before="0" w:after="0"/>
              <w:ind w:left="0" w:right="0" w:hanging="0"/>
              <w:jc w:val="center"/>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81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03"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86" w:type="dxa"/>
            <w:tcBorders/>
            <w:vAlign w:val="center"/>
          </w:tcPr>
          <w:p>
            <w:pPr>
              <w:pStyle w:val="TableContents"/>
              <w:bidi w:val="0"/>
              <w:spacing w:lineRule="auto" w:line="285" w:before="0" w:after="0"/>
              <w:ind w:left="0" w:right="0" w:hanging="0"/>
              <w:jc w:val="left"/>
              <w:rPr/>
            </w:pPr>
            <w:r>
              <w:rPr/>
              <w:t>​</w:t>
            </w:r>
          </w:p>
        </w:tc>
        <w:tc>
          <w:tcPr>
            <w:tcW w:w="1248" w:type="dxa"/>
            <w:gridSpan w:val="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$0.001 Par Value</w:t>
            </w:r>
          </w:p>
        </w:tc>
        <w:tc>
          <w:tcPr>
            <w:tcW w:w="226" w:type="dxa"/>
            <w:tcBorders/>
            <w:vAlign w:val="center"/>
          </w:tcPr>
          <w:p>
            <w:pPr>
              <w:pStyle w:val="TableContents"/>
              <w:bidi w:val="0"/>
              <w:spacing w:lineRule="auto" w:line="285" w:before="0" w:after="0"/>
              <w:ind w:left="0" w:right="0" w:hanging="0"/>
              <w:jc w:val="left"/>
              <w:rPr/>
            </w:pPr>
            <w:r>
              <w:rPr/>
              <w:t>​</w:t>
            </w:r>
          </w:p>
        </w:tc>
        <w:tc>
          <w:tcPr>
            <w:tcW w:w="66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109" w:type="dxa"/>
            <w:tcBorders/>
            <w:vAlign w:val="center"/>
          </w:tcPr>
          <w:p>
            <w:pPr>
              <w:pStyle w:val="TableContents"/>
              <w:bidi w:val="0"/>
              <w:spacing w:lineRule="auto" w:line="285" w:before="0" w:after="0"/>
              <w:ind w:left="0" w:right="0" w:hanging="0"/>
              <w:jc w:val="center"/>
              <w:rPr/>
            </w:pPr>
            <w:r>
              <w:rPr/>
              <w:t>​</w:t>
            </w:r>
          </w:p>
        </w:tc>
        <w:tc>
          <w:tcPr>
            <w:tcW w:w="79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226" w:type="dxa"/>
            <w:tcBorders/>
            <w:vAlign w:val="center"/>
          </w:tcPr>
          <w:p>
            <w:pPr>
              <w:pStyle w:val="TableContents"/>
              <w:bidi w:val="0"/>
              <w:spacing w:lineRule="auto" w:line="285" w:before="0" w:after="0"/>
              <w:ind w:left="0" w:right="0" w:hanging="0"/>
              <w:jc w:val="left"/>
              <w:rPr/>
            </w:pPr>
            <w:r>
              <w:rPr/>
              <w:t>​</w:t>
            </w:r>
          </w:p>
        </w:tc>
        <w:tc>
          <w:tcPr>
            <w:tcW w:w="81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lineRule="auto" w:line="285"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lineRule="auto" w:line="285" w:before="0" w:after="1"/>
              <w:ind w:left="0" w:right="0" w:hanging="0"/>
              <w:jc w:val="left"/>
              <w:rPr/>
            </w:pPr>
            <w:r>
              <w:rPr/>
              <w:t>  ​</w:t>
            </w:r>
          </w:p>
        </w:tc>
        <w:tc>
          <w:tcPr>
            <w:tcW w:w="66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109" w:type="dxa"/>
            <w:tcBorders/>
            <w:vAlign w:val="center"/>
          </w:tcPr>
          <w:p>
            <w:pPr>
              <w:pStyle w:val="TableContents"/>
              <w:bidi w:val="0"/>
              <w:spacing w:lineRule="auto" w:line="285"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226" w:type="dxa"/>
            <w:tcBorders/>
            <w:vAlign w:val="center"/>
          </w:tcPr>
          <w:p>
            <w:pPr>
              <w:pStyle w:val="TableContents"/>
              <w:bidi w:val="0"/>
              <w:spacing w:lineRule="auto" w:line="285"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51,246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2,928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10,901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9,393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3,286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121,824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680,252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(667,920)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12,332</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for vested restricted stock units</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5,745</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17"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under employee stock purchase plan</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shd w:fill="CCEEFF" w:val="clear"/>
            <w:vAlign w:val="center"/>
          </w:tcPr>
          <w:p>
            <w:pPr>
              <w:pStyle w:val="TableContents"/>
              <w:bidi w:val="0"/>
              <w:spacing w:lineRule="auto" w:line="285" w:before="0" w:after="0"/>
              <w:ind w:left="0" w:right="0" w:hanging="0"/>
              <w:jc w:val="left"/>
              <w:rPr/>
            </w:pPr>
            <w:r>
              <w:rPr/>
              <w:t>​</w:t>
            </w:r>
          </w:p>
        </w:tc>
        <w:tc>
          <w:tcPr>
            <w:tcW w:w="610"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c>
          <w:tcPr>
            <w:tcW w:w="61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Conversion of Series H Preferred Stock</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(2,984)</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5,968</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vAlign w:val="center"/>
          </w:tcPr>
          <w:p>
            <w:pPr>
              <w:pStyle w:val="TableContents"/>
              <w:bidi w:val="0"/>
              <w:spacing w:lineRule="auto" w:line="285" w:before="0" w:after="0"/>
              <w:ind w:left="0" w:right="0" w:hanging="0"/>
              <w:jc w:val="left"/>
              <w:rPr/>
            </w:pPr>
            <w:r>
              <w:rPr/>
              <w:t>​</w:t>
            </w:r>
          </w:p>
        </w:tc>
        <w:tc>
          <w:tcPr>
            <w:tcW w:w="35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6" w:type="dxa"/>
            <w:tcBorders/>
            <w:vAlign w:val="center"/>
          </w:tcPr>
          <w:p>
            <w:pPr>
              <w:pStyle w:val="TableContents"/>
              <w:bidi w:val="0"/>
              <w:spacing w:lineRule="auto" w:line="285" w:before="0" w:after="0"/>
              <w:ind w:left="0" w:right="0" w:hanging="0"/>
              <w:jc w:val="left"/>
              <w:rPr/>
            </w:pPr>
            <w:r>
              <w:rPr/>
              <w:t>​</w:t>
            </w:r>
          </w:p>
        </w:tc>
        <w:tc>
          <w:tcPr>
            <w:tcW w:w="610"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17" w:type="dxa"/>
            <w:tcBorders/>
            <w:vAlign w:val="center"/>
          </w:tcPr>
          <w:p>
            <w:pPr>
              <w:pStyle w:val="TableContents"/>
              <w:bidi w:val="0"/>
              <w:spacing w:lineRule="auto" w:line="285" w:before="0" w:after="1"/>
              <w:ind w:left="0" w:right="0" w:hanging="0"/>
              <w:jc w:val="right"/>
              <w:rPr/>
            </w:pPr>
            <w:r>
              <w:rPr/>
              <w:t>—</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 expense</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shd w:fill="CCEEFF" w:val="clear"/>
            <w:vAlign w:val="center"/>
          </w:tcPr>
          <w:p>
            <w:pPr>
              <w:pStyle w:val="TableContents"/>
              <w:bidi w:val="0"/>
              <w:spacing w:lineRule="auto" w:line="285" w:before="0" w:after="0"/>
              <w:ind w:left="0" w:right="0" w:hanging="0"/>
              <w:jc w:val="left"/>
              <w:rPr/>
            </w:pPr>
            <w:r>
              <w:rPr/>
              <w:t>​</w:t>
            </w:r>
          </w:p>
        </w:tc>
        <w:tc>
          <w:tcPr>
            <w:tcW w:w="35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4,550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shd w:fill="CCEEFF" w:val="clear"/>
            <w:vAlign w:val="center"/>
          </w:tcPr>
          <w:p>
            <w:pPr>
              <w:pStyle w:val="TableContents"/>
              <w:bidi w:val="0"/>
              <w:spacing w:lineRule="auto" w:line="285" w:before="0" w:after="0"/>
              <w:ind w:left="0" w:right="0" w:hanging="0"/>
              <w:jc w:val="left"/>
              <w:rPr/>
            </w:pPr>
            <w:r>
              <w:rPr/>
              <w:t>​</w:t>
            </w:r>
          </w:p>
        </w:tc>
        <w:tc>
          <w:tcPr>
            <w:tcW w:w="610"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c>
          <w:tcPr>
            <w:tcW w:w="61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4,550</w:t>
            </w:r>
          </w:p>
        </w:tc>
      </w:tr>
      <w:tr>
        <w:trPr/>
        <w:tc>
          <w:tcPr>
            <w:tcW w:w="81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22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(20,102)</w:t>
            </w:r>
          </w:p>
        </w:tc>
        <w:tc>
          <w:tcPr>
            <w:tcW w:w="226" w:type="dxa"/>
            <w:tcBorders/>
            <w:vAlign w:val="center"/>
          </w:tcPr>
          <w:p>
            <w:pPr>
              <w:pStyle w:val="TableContents"/>
              <w:bidi w:val="0"/>
              <w:spacing w:lineRule="auto" w:line="285"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(20,102)</w:t>
            </w:r>
          </w:p>
        </w:tc>
      </w:tr>
      <w:tr>
        <w:trPr/>
        <w:tc>
          <w:tcPr>
            <w:tcW w:w="8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Balance as of June 30, 2025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51,246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2,928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10,901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6,409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3,286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133,582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684,815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(688,022)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(3,206)</w:t>
            </w:r>
          </w:p>
        </w:tc>
      </w:tr>
    </w:tbl>
    <w:p>
      <w:pPr>
        <w:pStyle w:val="TextBody"/>
        <w:bidi w:val="0"/>
        <w:spacing w:lineRule="auto" w:line="285" w:before="0" w:after="240"/>
        <w:ind w:left="0" w:right="0" w:firstLine="720"/>
        <w:jc w:val="center"/>
        <w:rPr/>
      </w:pPr>
      <w:r>
        <w:rPr/>
        <w:t>​</w:t>
      </w:r>
    </w:p>
    <w:p>
      <w:pPr>
        <w:pStyle w:val="TextBody"/>
        <w:bidi w:val="0"/>
        <w:spacing w:lineRule="auto" w:line="285"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40"/>
        <w:ind w:left="0" w:right="0" w:hanging="0"/>
        <w:jc w:val="center"/>
        <w:rPr>
          <w:rFonts w:ascii="Times New Roman;Times;serif" w:hAnsi="Times New Roman;Times;serif"/>
          <w:b/>
          <w:sz w:val="20"/>
        </w:rPr>
      </w:pPr>
      <w:bookmarkStart w:id="1520" w:name="_7ab1a1a9_72d2_4622_95c8_f1ee9f2c47fa"/>
      <w:bookmarkEnd w:id="1520"/>
      <w:r>
        <w:rPr>
          <w:rFonts w:ascii="Times New Roman;Times;serif" w:hAnsi="Times New Roman;Times;serif"/>
          <w:b/>
          <w:sz w:val="20"/>
        </w:rPr>
        <w:t xml:space="preserve">KALA BIO, INC. </w:t>
      </w:r>
    </w:p>
    <w:p>
      <w:pPr>
        <w:pStyle w:val="TextBody"/>
        <w:bidi w:val="0"/>
        <w:spacing w:lineRule="auto" w:line="285" w:before="0" w:after="40"/>
        <w:ind w:left="0" w:right="0" w:hanging="0"/>
        <w:jc w:val="center"/>
        <w:rPr>
          <w:rFonts w:ascii="Times New Roman;Times;serif" w:hAnsi="Times New Roman;Times;serif"/>
          <w:b/>
          <w:sz w:val="20"/>
        </w:rPr>
      </w:pPr>
      <w:bookmarkStart w:id="1521" w:name="CASHFLOWS_579017"/>
      <w:bookmarkEnd w:id="1521"/>
      <w:r>
        <w:rPr>
          <w:rFonts w:ascii="Times New Roman;Times;serif" w:hAnsi="Times New Roman;Times;serif"/>
          <w:b/>
          <w:sz w:val="20"/>
        </w:rPr>
        <w:t xml:space="preserve">CONDENSED CONSOLIDATED STATEMENTS OF CASH FLOWS </w:t>
      </w:r>
    </w:p>
    <w:p>
      <w:pPr>
        <w:pStyle w:val="TextBody"/>
        <w:bidi w:val="0"/>
        <w:spacing w:lineRule="auto" w:line="285" w:before="0" w:after="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1522" w:name="Tc_FrGZLOYVVkCJioDbB7qh2w_38_5"/>
      <w:bookmarkStart w:id="1523" w:name="Tc_a4ZvGDVE2EeFkKSBUlpB6Q_38_3"/>
      <w:bookmarkStart w:id="1524" w:name="Tc_wXnaY7QFDU-iZSVl-mbdpA_38_2"/>
      <w:bookmarkStart w:id="1525" w:name="Tc_5mg8AGw5o0uSngoJpVPEqw_38_0"/>
      <w:bookmarkStart w:id="1526" w:name="Tc_Ywd_3Z7y602kzgguXquAhA_37_0"/>
      <w:bookmarkStart w:id="1527" w:name="Tc_D1wK6axEpkaAtgZSQhEGQg_35_6"/>
      <w:bookmarkStart w:id="1528" w:name="Tc_wPeLbR_CJkWPHgkiRBXPFQ_35_5"/>
      <w:bookmarkStart w:id="1529" w:name="Tc_KJijsOwcCk6BPVdwPgsMGA_35_2"/>
      <w:bookmarkStart w:id="1530" w:name="Tc_yJ_Fre25YEWMI3-3TVA_1Q_35_0"/>
      <w:bookmarkStart w:id="1531" w:name="Tc_fWW5WgfDoEyYAzlYUQk2Yg_34_0"/>
      <w:bookmarkStart w:id="1532" w:name="Tc_PtsUb3e2hEOgA6_R7RKcVg_32_5"/>
      <w:bookmarkStart w:id="1533" w:name="Tc_Y5XV_1R-HkmG2upmzLkMxg_32_2"/>
      <w:bookmarkStart w:id="1534" w:name="Tc_TGfHIRLD3UueJaFQEDVVkA_32_0"/>
      <w:bookmarkStart w:id="1535" w:name="Tc_Jr8Jzdnn-EG9-RBaVIgj8g_31_0"/>
      <w:bookmarkStart w:id="1536" w:name="Tc_XoR9WDwBB0Cedab8xc7wpA_30_0"/>
      <w:bookmarkStart w:id="1537" w:name="Tc_A7IKyPg2AkKybZc2g2wdEQ_29_0"/>
      <w:bookmarkStart w:id="1538" w:name="Tc_Mdjp6RzmH0i-xf5F65Xq7A_28_3"/>
      <w:bookmarkStart w:id="1539" w:name="Tc_UBpRe7QLqUeX3vfQA8mXoA_28_0"/>
      <w:bookmarkStart w:id="1540" w:name="Tc_Jxu6ZPWdP0m1fdOhN87nYA_27_3"/>
      <w:bookmarkStart w:id="1541" w:name="Tc_ucwNcWtsYkqUOgm65nvufg_27_0"/>
      <w:bookmarkStart w:id="1542" w:name="Tc_DhAw6OHt5Ey_IL7domaSfw_26_3"/>
      <w:bookmarkStart w:id="1543" w:name="Tc_VSokeZIAhUy87XdVR2908A_26_0"/>
      <w:bookmarkStart w:id="1544" w:name="Tc_TaQcxIw_ukKKmOaHZV1Ybg_25_6"/>
      <w:bookmarkStart w:id="1545" w:name="Tc_mk31PFxLj02wVVS0nU3mFQ_25_0"/>
      <w:bookmarkStart w:id="1546" w:name="Tc_1mZx1yIzU0mURNusSH_qfA_24_3"/>
      <w:bookmarkStart w:id="1547" w:name="Tc_hnjJxkg7lk6yJFpASkS4Cg_24_0"/>
      <w:bookmarkStart w:id="1548" w:name="Tc_AjEeCChG3kCreum7Ckdg7g_23_0"/>
      <w:bookmarkStart w:id="1549" w:name="Tc_aw9CKwb_3UyM5iIxr-vIwA_22_0"/>
      <w:bookmarkStart w:id="1550" w:name="Tc_F-4CRwANUUGqTcxIAmzm7A_21_0"/>
      <w:bookmarkStart w:id="1551" w:name="Tc_iEWhAu4_I0aq7M4IAtpWHw_20_0"/>
      <w:bookmarkStart w:id="1552" w:name="Tc_JbqDIJu9skq1dDPMWvYRDw_19_0"/>
      <w:bookmarkStart w:id="1553" w:name="Tc_BAmw5kEwakq9NGsdeoPNFQ_18_3"/>
      <w:bookmarkStart w:id="1554" w:name="Tc_jGtRyE87fku4gWYEOG7JqA_18_0"/>
      <w:bookmarkStart w:id="1555" w:name="Tc_5MBTaTYZaUajBznBg5iyfA_17_0"/>
      <w:bookmarkStart w:id="1556" w:name="Tc_u82ENRw3bUauSvJTv3tQVA_16_0"/>
      <w:bookmarkStart w:id="1557" w:name="Tc_89HdXCTH1k6qUzAMGoHwnw_15_3"/>
      <w:bookmarkStart w:id="1558" w:name="Tc_jIznFfa190mxLl16fAw3mA_15_0"/>
      <w:bookmarkStart w:id="1559" w:name="Tc_VwToh_tlJUit1wA15MKYfw_14_0"/>
      <w:bookmarkStart w:id="1560" w:name="Tc_F1JbBkHT7EiyqrdTjUkkIg_13_0"/>
      <w:bookmarkStart w:id="1561" w:name="Tc_1XID5LL6lE-TRscHZ3mN9Q_12_6"/>
      <w:bookmarkStart w:id="1562" w:name="Tc_OCMPOFI7lk6P3luPVFEajA_12_0"/>
      <w:bookmarkStart w:id="1563" w:name="Tc_4jyle_j61EOTi_57uRXmDg_11_0"/>
      <w:bookmarkStart w:id="1564" w:name="Tc_HqmLF8tUEEqmF7HIgRFu5g_10_3"/>
      <w:bookmarkStart w:id="1565" w:name="Tc_J2K3_7xCJUqqe21NF-naYQ_10_0"/>
      <w:bookmarkStart w:id="1566" w:name="Tc_OqZAMA1jy0mG7TFP1YGuTA_9_3"/>
      <w:bookmarkStart w:id="1567" w:name="Tc_qJ-CoA3t20isVbLDiWzcCQ_9_0"/>
      <w:bookmarkStart w:id="1568" w:name="Tc_rBnCMDQR6UuZVdArvLJsig_8_3"/>
      <w:bookmarkStart w:id="1569" w:name="Tc_CZ9Zwl87ok-YQzSuQgub-g_8_0"/>
      <w:bookmarkStart w:id="1570" w:name="Tc_4iTtApP9OkWQLEvmCzaY1A_7_3"/>
      <w:bookmarkStart w:id="1571" w:name="Tc_ADZUkXXivESmufl5gmDiFA_7_0"/>
      <w:bookmarkStart w:id="1572" w:name="Tc_6_w6rIdeM0eKmgAdVmWZsQ_6_0"/>
      <w:bookmarkStart w:id="1573" w:name="Tc_-PwkxgisHkCz3suZW_Gc7w_5_5"/>
      <w:bookmarkStart w:id="1574" w:name="Tc_6YYwvntZ5E2QS5doa_dXGw_5_2"/>
      <w:bookmarkStart w:id="1575" w:name="Tc_7z1g3lUCkEaWU0B7Kp7hjA_5_0"/>
      <w:bookmarkStart w:id="1576" w:name="Tc_aZrJH7vqM0u6h-XSLA6yzg_4_0"/>
      <w:bookmarkStart w:id="1577" w:name="Tc_nG2J4D2tmESPW_KI1g9rZQ_3_5"/>
      <w:bookmarkStart w:id="1578" w:name="Tc_cjeua6fQ_0uo-JU0gQ2sew_3_2"/>
      <w:bookmarkStart w:id="1579" w:name="Tc_kwgtaD__G0-vcvgP4I6gpQ_2_2"/>
      <w:bookmarkStart w:id="1580" w:name="Tc_yDtkYELduEiM3FUR9PR00g_1_2"/>
      <w:bookmarkStart w:id="1581" w:name="iSkippedRange_69563"/>
      <w:bookmarkStart w:id="1582" w:name="_cff7be54_7330_4acf_9317_78ac1802d767"/>
      <w:bookmarkStart w:id="1583" w:name="Tc_FrGZLOYVVkCJioDbB7qh2w_38_5"/>
      <w:bookmarkStart w:id="1584" w:name="Tc_a4ZvGDVE2EeFkKSBUlpB6Q_38_3"/>
      <w:bookmarkStart w:id="1585" w:name="Tc_wXnaY7QFDU-iZSVl-mbdpA_38_2"/>
      <w:bookmarkStart w:id="1586" w:name="Tc_5mg8AGw5o0uSngoJpVPEqw_38_0"/>
      <w:bookmarkStart w:id="1587" w:name="Tc_Ywd_3Z7y602kzgguXquAhA_37_0"/>
      <w:bookmarkStart w:id="1588" w:name="Tc_D1wK6axEpkaAtgZSQhEGQg_35_6"/>
      <w:bookmarkStart w:id="1589" w:name="Tc_wPeLbR_CJkWPHgkiRBXPFQ_35_5"/>
      <w:bookmarkStart w:id="1590" w:name="Tc_KJijsOwcCk6BPVdwPgsMGA_35_2"/>
      <w:bookmarkStart w:id="1591" w:name="Tc_yJ_Fre25YEWMI3-3TVA_1Q_35_0"/>
      <w:bookmarkStart w:id="1592" w:name="Tc_fWW5WgfDoEyYAzlYUQk2Yg_34_0"/>
      <w:bookmarkStart w:id="1593" w:name="Tc_PtsUb3e2hEOgA6_R7RKcVg_32_5"/>
      <w:bookmarkStart w:id="1594" w:name="Tc_Y5XV_1R-HkmG2upmzLkMxg_32_2"/>
      <w:bookmarkStart w:id="1595" w:name="Tc_TGfHIRLD3UueJaFQEDVVkA_32_0"/>
      <w:bookmarkStart w:id="1596" w:name="Tc_Jr8Jzdnn-EG9-RBaVIgj8g_31_0"/>
      <w:bookmarkStart w:id="1597" w:name="Tc_XoR9WDwBB0Cedab8xc7wpA_30_0"/>
      <w:bookmarkStart w:id="1598" w:name="Tc_A7IKyPg2AkKybZc2g2wdEQ_29_0"/>
      <w:bookmarkStart w:id="1599" w:name="Tc_Mdjp6RzmH0i-xf5F65Xq7A_28_3"/>
      <w:bookmarkStart w:id="1600" w:name="Tc_UBpRe7QLqUeX3vfQA8mXoA_28_0"/>
      <w:bookmarkStart w:id="1601" w:name="Tc_Jxu6ZPWdP0m1fdOhN87nYA_27_3"/>
      <w:bookmarkStart w:id="1602" w:name="Tc_ucwNcWtsYkqUOgm65nvufg_27_0"/>
      <w:bookmarkStart w:id="1603" w:name="Tc_DhAw6OHt5Ey_IL7domaSfw_26_3"/>
      <w:bookmarkStart w:id="1604" w:name="Tc_VSokeZIAhUy87XdVR2908A_26_0"/>
      <w:bookmarkStart w:id="1605" w:name="Tc_TaQcxIw_ukKKmOaHZV1Ybg_25_6"/>
      <w:bookmarkStart w:id="1606" w:name="Tc_mk31PFxLj02wVVS0nU3mFQ_25_0"/>
      <w:bookmarkStart w:id="1607" w:name="Tc_1mZx1yIzU0mURNusSH_qfA_24_3"/>
      <w:bookmarkStart w:id="1608" w:name="Tc_hnjJxkg7lk6yJFpASkS4Cg_24_0"/>
      <w:bookmarkStart w:id="1609" w:name="Tc_AjEeCChG3kCreum7Ckdg7g_23_0"/>
      <w:bookmarkStart w:id="1610" w:name="Tc_aw9CKwb_3UyM5iIxr-vIwA_22_0"/>
      <w:bookmarkStart w:id="1611" w:name="Tc_F-4CRwANUUGqTcxIAmzm7A_21_0"/>
      <w:bookmarkStart w:id="1612" w:name="Tc_iEWhAu4_I0aq7M4IAtpWHw_20_0"/>
      <w:bookmarkStart w:id="1613" w:name="Tc_JbqDIJu9skq1dDPMWvYRDw_19_0"/>
      <w:bookmarkStart w:id="1614" w:name="Tc_BAmw5kEwakq9NGsdeoPNFQ_18_3"/>
      <w:bookmarkStart w:id="1615" w:name="Tc_jGtRyE87fku4gWYEOG7JqA_18_0"/>
      <w:bookmarkStart w:id="1616" w:name="Tc_5MBTaTYZaUajBznBg5iyfA_17_0"/>
      <w:bookmarkStart w:id="1617" w:name="Tc_u82ENRw3bUauSvJTv3tQVA_16_0"/>
      <w:bookmarkStart w:id="1618" w:name="Tc_89HdXCTH1k6qUzAMGoHwnw_15_3"/>
      <w:bookmarkStart w:id="1619" w:name="Tc_jIznFfa190mxLl16fAw3mA_15_0"/>
      <w:bookmarkStart w:id="1620" w:name="Tc_VwToh_tlJUit1wA15MKYfw_14_0"/>
      <w:bookmarkStart w:id="1621" w:name="Tc_F1JbBkHT7EiyqrdTjUkkIg_13_0"/>
      <w:bookmarkStart w:id="1622" w:name="Tc_1XID5LL6lE-TRscHZ3mN9Q_12_6"/>
      <w:bookmarkStart w:id="1623" w:name="Tc_OCMPOFI7lk6P3luPVFEajA_12_0"/>
      <w:bookmarkStart w:id="1624" w:name="Tc_4jyle_j61EOTi_57uRXmDg_11_0"/>
      <w:bookmarkStart w:id="1625" w:name="Tc_HqmLF8tUEEqmF7HIgRFu5g_10_3"/>
      <w:bookmarkStart w:id="1626" w:name="Tc_J2K3_7xCJUqqe21NF-naYQ_10_0"/>
      <w:bookmarkStart w:id="1627" w:name="Tc_OqZAMA1jy0mG7TFP1YGuTA_9_3"/>
      <w:bookmarkStart w:id="1628" w:name="Tc_qJ-CoA3t20isVbLDiWzcCQ_9_0"/>
      <w:bookmarkStart w:id="1629" w:name="Tc_rBnCMDQR6UuZVdArvLJsig_8_3"/>
      <w:bookmarkStart w:id="1630" w:name="Tc_CZ9Zwl87ok-YQzSuQgub-g_8_0"/>
      <w:bookmarkStart w:id="1631" w:name="Tc_4iTtApP9OkWQLEvmCzaY1A_7_3"/>
      <w:bookmarkStart w:id="1632" w:name="Tc_ADZUkXXivESmufl5gmDiFA_7_0"/>
      <w:bookmarkStart w:id="1633" w:name="Tc_6_w6rIdeM0eKmgAdVmWZsQ_6_0"/>
      <w:bookmarkStart w:id="1634" w:name="Tc_-PwkxgisHkCz3suZW_Gc7w_5_5"/>
      <w:bookmarkStart w:id="1635" w:name="Tc_6YYwvntZ5E2QS5doa_dXGw_5_2"/>
      <w:bookmarkStart w:id="1636" w:name="Tc_7z1g3lUCkEaWU0B7Kp7hjA_5_0"/>
      <w:bookmarkStart w:id="1637" w:name="Tc_aZrJH7vqM0u6h-XSLA6yzg_4_0"/>
      <w:bookmarkStart w:id="1638" w:name="Tc_nG2J4D2tmESPW_KI1g9rZQ_3_5"/>
      <w:bookmarkStart w:id="1639" w:name="Tc_cjeua6fQ_0uo-JU0gQ2sew_3_2"/>
      <w:bookmarkStart w:id="1640" w:name="Tc_kwgtaD__G0-vcvgP4I6gpQ_2_2"/>
      <w:bookmarkStart w:id="1641" w:name="Tc_yDtkYELduEiM3FUR9PR00g_1_2"/>
      <w:bookmarkStart w:id="1642" w:name="iSkippedRange_69563"/>
      <w:bookmarkStart w:id="1643" w:name="_cff7be54_7330_4acf_9317_78ac1802d767"/>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p>
    <w:tbl>
      <w:tblPr>
        <w:tblW w:w="8602" w:type="dxa"/>
        <w:jc w:val="left"/>
        <w:tblInd w:w="0" w:type="dxa"/>
        <w:tblLayout w:type="fixed"/>
        <w:tblCellMar>
          <w:top w:w="0" w:type="dxa"/>
          <w:left w:w="0" w:type="dxa"/>
          <w:bottom w:w="0" w:type="dxa"/>
          <w:right w:w="0" w:type="dxa"/>
        </w:tblCellMar>
      </w:tblPr>
      <w:tblGrid>
        <w:gridCol w:w="6121"/>
        <w:gridCol w:w="346"/>
        <w:gridCol w:w="196"/>
        <w:gridCol w:w="631"/>
        <w:gridCol w:w="346"/>
        <w:gridCol w:w="196"/>
        <w:gridCol w:w="766"/>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886835" cy="175260"/>
                      <wp:effectExtent l="0" t="0" r="0" b="0"/>
                      <wp:wrapNone/>
                      <wp:docPr id="191" name="Frame191"/>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00685" cy="175260"/>
                      <wp:effectExtent l="0" t="0" r="0" b="0"/>
                      <wp:wrapNone/>
                      <wp:docPr id="194" name="Frame19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4460" cy="175260"/>
                      <wp:effectExtent l="0" t="0" r="0" b="0"/>
                      <wp:wrapNone/>
                      <wp:docPr id="196" name="Frame1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86410" cy="175260"/>
                      <wp:effectExtent l="0" t="0" r="0" b="0"/>
                      <wp:wrapNone/>
                      <wp:docPr id="197" name="Frame19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3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(3,202)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(20,102)</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135</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Non-cash operating lease cost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184</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Loss on fair value remeasurement of contingent consideration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174</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Amortization of debt discount and other non-cash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359</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(607)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4,550</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for service contract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Change in operating assets and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long-term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(1,112)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(1,596)</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Lease liabilities and other long-term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(180)</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(4,430)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(16,558)</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Payment for short-term investment </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(7,000)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Payment of issuance costs from issuance of common stock and Series I preferred stock</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(120)</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Series AAA preferred stock, net of issuance cost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4,102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Payment of principal and payment fee on debt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(2,500)</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Payment of principal on finance lease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(58)</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under employee stock purchase plan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4,102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(2,665)</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(decrease) increase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(19,239)</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beginning of period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 xml:space="preserve">7,557 </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 xml:space="preserve">51,181 </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end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31,942</w:t>
            </w:r>
          </w:p>
        </w:tc>
      </w:tr>
      <w:tr>
        <w:trPr/>
        <w:tc>
          <w:tcPr>
            <w:tcW w:w="6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Non-cash investing and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to satisfy service contract in additional paid-in capital</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1,755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lineRule="auto" w:line="285" w:before="0" w:after="0"/>
              <w:ind w:left="0" w:right="0" w:hanging="0"/>
              <w:jc w:val="righ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1,853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bookmarkStart w:id="1644" w:name="NOTESTOFINANCIALSTATEMENTS_669332"/>
      <w:bookmarkEnd w:id="1644"/>
      <w:r>
        <w:rPr>
          <w:rFonts w:ascii="Times New Roman;Times;serif" w:hAnsi="Times New Roman;Times;serif"/>
          <w:b/>
          <w:sz w:val="20"/>
        </w:rPr>
        <w:t>1. NATURE OF BUSINESS AND BASIS OF PRESENTATION</w:t>
      </w:r>
    </w:p>
    <w:p>
      <w:pPr>
        <w:pStyle w:val="TextBody"/>
        <w:bidi w:val="0"/>
        <w:spacing w:lineRule="auto" w:line="285"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Nature of Business</w:t>
      </w:r>
      <w:r>
        <w:rPr>
          <w:rFonts w:ascii="Times New Roman;Times;serif" w:hAnsi="Times New Roman;Times;serif"/>
          <w:sz w:val="20"/>
        </w:rPr>
        <w:t>— KALA BIO, Inc. (the “Company”) was incorporated on July 7, 2009, and is a biopharmaceutical company in transition, evaluating the development of a dedicated, on-premises artificial intelligence (AI) infrastructure platform for the biotechnology industry. Our current focus is leveraging our mesenchymal stem cell secretome platform (the “MSC-S platform”) to test development of a scalable AI platform-as-a-service business to deploy secure, purpose-built AI systems directly within biotechnology and pharmaceutical client environments. We have historically been engaged in the research, development and commercialization of innovative therapies for rare and severe diseases of the front and back of the eye. Our lead product candidate was KPI-012 (“KPI-012”), an MSC-S, which we acquired from Combangio on November 15, 2021. KPI-012 was in clinical development for the treatment of persistent corneal epithelial defects (“PCED”), a rare disease of impaired corneal healing. Based on the results of a Phase 1b clinical safety and efficacy trial of KPI-012 in patients with PCED, we submitted an investigational new drug application to the U.S. Food and Drug Administration (the “FDA”), which was accepted in December 2022. In February 2023, we dosed our first patient in the United States in our CHASE trial (the “CHASE trial”). By September 2025, the CHASE trial did not meet its primary endpoints, and we determined to discontinue our development of KPI-012 and the MSC-S platform. We have since expanded upon our business to evaluate strategic alternatives for our legacy MSC-S assets and capitalize on the substantial intellectual property (IP), proprietary biological datasets, and research experience generated during the clinical trials by starting development of an AI platform.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in the process of evaluating and transitioning from historical biologics research and development (R&amp;D) activities to an “AI platform-as-a-service” model intended to provide dedicated, on-premises artificial intelligence infrastructure solutions to biotechnology and pharmaceutical customers. Following the discontinuation of the CHASE Phase 2b clinical trial of KPI-012 in September 2025 and the subsequent resolution of our obligations to Oxford Finance, our current operating focus is (i) the monetization or out-licensing of remaining biologics-related assets and (ii) development and commercialization planning for our licensed Researgency agentic AI platform (the “Researgency Platform”). This transition is expected to impact our operating expenses, capital requirements, and sources and uses of cash as described further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refocused our business on two complementary strategic priorities. First, we are preserving and seeking to maximize the value of our MSC-S biologics asset portfolio, including the KPI-012 and KPI-014 product candidates and related intellectual property, through potential licensing, collaboration, and other strategic arrangements with third parties, as well as through evaluation of opportunities to resume preclinical development activities subject to the availability of additional capital. Second, we are building our Researgency business through our exclusive license for the Researgency Platform, which we intend to deploy as a dedicated, on-premises AI infrastructure solution for biotechnology and pharmaceutical companies. We believe this dual-track strategy preserves and creates optionality with respect to our biologics assets while simultaneously pursuing a potential business opportunity in the rapidly growing AI platform market for the biotechnology industry.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Reverse Stock Split – </w:t>
      </w:r>
      <w:r>
        <w:rPr>
          <w:rFonts w:ascii="Times New Roman;Times;serif" w:hAnsi="Times New Roman;Times;serif"/>
          <w:sz w:val="20"/>
        </w:rPr>
        <w:t xml:space="preserve">On May 8, 2026, we effected a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-for-50 reverse stock split of our Common Stock (the “Reverse Stock Split”), pursuant to which each </w:t>
      </w:r>
      <w:r>
        <w:rPr>
          <w:rFonts w:ascii="Times New Roman;Times;serif" w:hAnsi="Times New Roman;Times;serif"/>
          <w:b w:val="false"/>
          <w:i w:val="false"/>
          <w:caps w:val="false"/>
          <w:smallCaps w:val="false"/>
          <w:sz w:val="20"/>
        </w:rPr>
        <w:t>(50)</w:t>
      </w:r>
      <w:r>
        <w:rPr>
          <w:rFonts w:ascii="Times New Roman;Times;serif" w:hAnsi="Times New Roman;Times;serif"/>
          <w:sz w:val="20"/>
        </w:rPr>
        <w:t xml:space="preserve"> shares of Common Stock were converted into one share of common stock. No fractional shares were issued in connection with the Reverse Stock Split, and stockholders who otherwise would have been entitled to receive fractional shares are entitled to receive a cash payment in lieu of such fractional shares. All share and per share amounts in these condensed consolidated financial statements and related notes have been retroactively adjusted to reflect the Reverse Stock Split for all periods presented.</w:t>
      </w:r>
    </w:p>
    <w:p>
      <w:pPr>
        <w:pStyle w:val="TextBody"/>
        <w:bidi w:val="0"/>
        <w:spacing w:lineRule="auto" w:line="285" w:before="240" w:after="0"/>
        <w:ind w:left="0" w:right="0" w:firstLine="720"/>
        <w:jc w:val="both"/>
        <w:rPr>
          <w:rFonts w:ascii="Times New Roman;Times;serif" w:hAnsi="Times New Roman;Times;serif"/>
          <w:b/>
          <w:sz w:val="20"/>
        </w:rPr>
      </w:pPr>
      <w:r>
        <w:rPr>
          <w:rFonts w:ascii="Times New Roman;Times;serif" w:hAnsi="Times New Roman;Times;serif"/>
          <w:b/>
          <w:sz w:val="20"/>
        </w:rPr>
        <w:t>Recent Equity Financings</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January 8, 2026, the Company entered into an At The Market Offering Agreement (the “ATM Agreement”) with H.C. Wainwright &amp; Co., LLC (“Wainwright”) providing for the sale and issuance by the Company of shares of its common stock, par value $0.001 per share (“Common Stock”) from time to time, through or to Wainwright as the Company’s sales agent or principal in an “at the market offering” program and as set forth in the ATM Agreement (the “ATM Program”).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January 30, 2026, pursuant to the terms of a Securities Purchase Agreement (the “January 2026 Purchase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Agreement”), we issued and sold to certain investors (the “Series AAA Investors”) in a closing (the “Series AAA Closing”) of a private placement (the “Series AAA Private Placement”), an aggregate of 2,100,000 shares of the Company’s Series AAA Convertible Non-Redeemable Preferred Stock (“Series AAA Preferred Stock”) at a price per share of Series AAA Preferred Stock equal to $2.00, for aggregate gross proceeds of $4,200. The Series AAA Closing occurred on January 30, 2026. The terms of the Series AAA Preferred Stock are substantially similar to the terms of the Series AA Preferred Stock. Each share of Series AAA Preferred Stock was convertible into 8.4 shares of common stock for an aggregate total of 17,640,000 shares of Common Stock issuable upon conversion of the Series AAA Preferred Stock. As of June 30, 2026, all of the shares of Series AAA Preferred Stock have been converted into shares of Common Stock.</w:t>
      </w:r>
    </w:p>
    <w:p>
      <w:pPr>
        <w:pStyle w:val="TextBody"/>
        <w:bidi w:val="0"/>
        <w:spacing w:lineRule="auto" w:line="285" w:before="240" w:after="240"/>
        <w:ind w:left="0" w:right="0" w:firstLine="720"/>
        <w:jc w:val="left"/>
        <w:rPr>
          <w:rFonts w:ascii="Times New Roman;Times;serif" w:hAnsi="Times New Roman;Times;serif"/>
          <w:sz w:val="20"/>
        </w:rPr>
      </w:pPr>
      <w:r>
        <w:rPr>
          <w:rFonts w:ascii="Times New Roman;Times;serif" w:hAnsi="Times New Roman;Times;serif"/>
          <w:b/>
          <w:sz w:val="20"/>
        </w:rPr>
        <w:t>Use of Estimates</w:t>
      </w:r>
      <w:r>
        <w:rPr>
          <w:rFonts w:ascii="Times New Roman;Times;serif" w:hAnsi="Times New Roman;Times;serif"/>
          <w:sz w:val="20"/>
        </w:rPr>
        <w:t>— The preparation of condensed consolidated financial statements in conformity with accounting principles generally accepted in the United States of America (“U.S. GAAP”) requires management to make estimates and assumptions that affect the reported amounts of assets, liabilities, revenue, expense, and related disclosures. The Company bases estimates and assumptions on historical experience when available and on various factors that it believes to be reasonable under the circumstances. The Company evaluates its estimates and assumptions on an ongoing basis. Estimates and assumptions relied upon in preparing these condensed consolidated financial statements relate to, but are not limited to, the present value of lease liabilities and the corresponding right-of-use assets, the fair value of warrants, stock-based compensation, accrued expenses, contingent consideration, grant income and deferred grant income, the valuation of embedded derivatives and the recoverability of the Company’s net deferred tax assets and related valuation allowance. Actual results may differ from these estimates under different assumptions or conditions.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sz w:val="20"/>
        </w:rPr>
        <w:t>Net Loss per Share Attributable to Common Stockholders</w:t>
      </w:r>
      <w:r>
        <w:rPr>
          <w:rFonts w:ascii="Times New Roman;Times;serif" w:hAnsi="Times New Roman;Times;serif"/>
          <w:sz w:val="20"/>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 The two-class method is not applicable during periods with a net loss, as the holders of the convertible preferred stock have no contractual obligation to share in losses. For all periods presented, the two-class method was not applicable.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Basic net loss per share attributable to common stockholders is computed using the weighted-average number of common shares outstanding during the period. Diluted net loss per share attributable to common stockholders is computed using the weighted average number of common shares outstanding during the period and, if dilutive, the weighted average number of potential shares of common stock, including the assumed exercise of stock options and warrants, the issuance of unvested restricted stock units (“RSUs”) and performance-based restricted stock units (“PSUs”) and convertible preferred stock using the if-converted method.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weighted average number of common shares included in the computation of diluted net loss gives effect to all potentially dilutive common equivalent shares, including outstanding stock options, warrants, unvested RSUs and PSUs </w:t>
      </w:r>
      <w:r>
        <w:rPr>
          <w:rFonts w:ascii="Times New Roman;Times;serif" w:hAnsi="Times New Roman;Times;serif"/>
          <w:sz w:val="20"/>
          <w:shd w:fill="FFFFFF" w:val="clear"/>
        </w:rPr>
        <w:t xml:space="preserve">and </w:t>
      </w:r>
      <w:r>
        <w:rPr>
          <w:rFonts w:ascii="Times New Roman;Times;serif" w:hAnsi="Times New Roman;Times;serif"/>
          <w:sz w:val="20"/>
        </w:rPr>
        <w:t>convertible preferred stock using the if-converted method. Common stock equivalent shares are excluded from the computation of diluted net loss per share attributable to common stockholders if their effect is antidilutive.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three and six months ended June 30, 2026 and 2025. (See Note 13, “Loss Per Share”).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sz w:val="20"/>
        </w:rPr>
        <w:t>Unaudited Interim Financial Information</w:t>
      </w:r>
      <w:r>
        <w:rPr>
          <w:rFonts w:ascii="Times New Roman;Times;serif" w:hAnsi="Times New Roman;Times;serif"/>
          <w:sz w:val="20"/>
        </w:rPr>
        <w:t>—The condensed consolidated financial statements of the Company included herein have been prepared, without audit, pursuant to the rules and regulations of the Securities Exchange Commission (“SEC”). Certain information and footnote disclosures normally included in financial statements prepared in accordance with U.S. GAAP have been condensed or omitted from this report, as is permitted by such rules and regulations. The accompanying condensed consolidated financial statements reflect all adjustments consisting of normal, recurring adjustments, that are necessary for a fair presentation of the financial position, results of operations, statement of stockholders’ equity and cash flows for the interim periods presented. Interim results are not necessarily indicative of results for a full year. Accordingly, these condensed consolidated financial statements should be read in conjunction with the financial statements and notes thereto included in the Company’s Annual Report on Form 10-K for the fiscal year ended December 31, 2025 (the “Annual Report”).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unaudited condensed consolidated financial statements include the accounts of KALA BIO, Inc. and its wholly owned subsidiaries, Kala Pharmaceuticals Security Corporation and Combangio, Inc. All intercompany transactions and balances have been eliminated in consolidation.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lineRule="auto" w:line="285" w:before="0" w:after="240"/>
        <w:ind w:left="0" w:right="0" w:firstLine="72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Financial Accounting Standards Board (“FASB”) issued </w:t>
      </w:r>
      <w:r>
        <w:rPr>
          <w:rFonts w:ascii="Times New Roman;Times;serif" w:hAnsi="Times New Roman;Times;serif"/>
          <w:color w:val="212529"/>
          <w:sz w:val="20"/>
        </w:rPr>
        <w:t>Accounting Standards Update (“ASU”) No.</w:t>
      </w:r>
      <w:r>
        <w:rPr>
          <w:rFonts w:ascii="Times New Roman;Times;serif" w:hAnsi="Times New Roman;Times;serif"/>
          <w:sz w:val="20"/>
        </w:rPr>
        <w:t xml:space="preserve"> 2025-11, </w:t>
      </w:r>
      <w:r>
        <w:rPr>
          <w:rFonts w:ascii="Times New Roman;Times;serif" w:hAnsi="Times New Roman;Times;serif"/>
          <w:i/>
          <w:sz w:val="20"/>
        </w:rPr>
        <w:t>Interim Reporting (Topic 270): Narrow-Scope Improvements</w:t>
      </w:r>
      <w:r>
        <w:rPr>
          <w:rFonts w:ascii="Times New Roman;Times;serif" w:hAnsi="Times New Roman;Times;serif"/>
          <w:sz w:val="20"/>
        </w:rPr>
        <w:t xml:space="preserve"> (“ASU 2025-11”),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this guidance on its financial statements.</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significant accounting policies are described in Note 2, “Summary of Significant Accounting Policies,” to the consolidated financial statements included in the Annual Report. There have been no material changes to the significant accounting policies during the three months ended June 30, 2026.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3. FAIR VALUE OF FINANCIAL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ASC 820, </w:t>
      </w:r>
      <w:r>
        <w:rPr>
          <w:rFonts w:ascii="Times New Roman;Times;serif" w:hAnsi="Times New Roman;Times;serif"/>
          <w:i/>
          <w:sz w:val="20"/>
        </w:rPr>
        <w:t>Fair Value Measurements and Disclosures,</w:t>
      </w:r>
      <w:r>
        <w:rPr>
          <w:rFonts w:ascii="Times New Roman;Times;serif" w:hAnsi="Times New Roman;Times;serif"/>
          <w:sz w:val="20"/>
        </w:rPr>
        <w:t xml:space="preserve"> establishes a fair value hierarchy for those instruments measured at fair value that distinguishes between assumptions based on market data (observable inputs) and its own assumptions (unobservable inputs). The hierarchy consists of three levels:</w:t>
      </w:r>
    </w:p>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spacing w:lineRule="auto" w:line="307" w:before="0" w:after="16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Company’s financial instruments as of June 30, 2026 and December 31, 2025 consisted primarily of cash equivalents and contingent consideration. Cash equivalents and contingent consideration are reported at their respective fair values on the Company’s condensed consolidated balance sheets.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160"/>
        <w:ind w:left="0" w:right="0" w:hanging="0"/>
        <w:jc w:val="left"/>
        <w:rPr>
          <w:rFonts w:ascii="Times New Roman;Times;serif" w:hAnsi="Times New Roman;Times;serif"/>
          <w:b/>
          <w:sz w:val="20"/>
        </w:rPr>
      </w:pPr>
      <w:r>
        <w:rPr>
          <w:rFonts w:ascii="Times New Roman;Times;serif" w:hAnsi="Times New Roman;Times;serif"/>
          <w:b/>
          <w:sz w:val="20"/>
        </w:rPr>
        <w:t>4. LICENSE AGREEMENT</w:t>
      </w:r>
    </w:p>
    <w:p>
      <w:pPr>
        <w:pStyle w:val="TextBody"/>
        <w:bidi w:val="0"/>
        <w:spacing w:lineRule="auto" w:line="285" w:before="0" w:after="160"/>
        <w:ind w:left="0" w:right="0" w:firstLine="720"/>
        <w:jc w:val="left"/>
        <w:rPr>
          <w:rFonts w:ascii="Times New Roman;Times;serif" w:hAnsi="Times New Roman;Times;serif"/>
          <w:b/>
          <w:sz w:val="20"/>
        </w:rPr>
      </w:pPr>
      <w:r>
        <w:rPr>
          <w:rFonts w:ascii="Times New Roman;Times;serif" w:hAnsi="Times New Roman;Times;serif"/>
          <w:b w:val="false"/>
          <w:sz w:val="20"/>
        </w:rPr>
        <w:t>On March 3, 2026 (the “Effective Date”), the Company and Younet entered into the Younet Agreement pursuant to which the Company obtained the worldwide Exclusive License of Younet’s proprietary, custom biomedical artificial intelligence research platform (the “Researgency Platform”), together with associated trademarks and intellectual property. The term of the Agreement is for 12 months</w:t>
      </w:r>
      <w:r>
        <w:rPr>
          <w:rFonts w:ascii="Times New Roman;Times;serif" w:hAnsi="Times New Roman;Times;serif"/>
          <w:b/>
          <w:sz w:val="20"/>
        </w:rPr>
        <w:t xml:space="preserve"> </w:t>
      </w:r>
      <w:r>
        <w:rPr>
          <w:rFonts w:ascii="Times New Roman;Times;serif" w:hAnsi="Times New Roman;Times;serif"/>
          <w:b w:val="false"/>
          <w:sz w:val="20"/>
        </w:rPr>
        <w:t>following the Effective Date (the “Initial Term”), with the option by the Company to renew the agreement for successive 12 months</w:t>
      </w:r>
      <w:r>
        <w:rPr>
          <w:rFonts w:ascii="Times New Roman;Times;serif" w:hAnsi="Times New Roman;Times;serif"/>
          <w:b/>
          <w:sz w:val="20"/>
        </w:rPr>
        <w:t xml:space="preserve"> </w:t>
      </w:r>
      <w:r>
        <w:rPr>
          <w:rFonts w:ascii="Times New Roman;Times;serif" w:hAnsi="Times New Roman;Times;serif"/>
          <w:b w:val="false"/>
          <w:sz w:val="20"/>
        </w:rPr>
        <w:t>terms (each, a “Renewal Term”), in each case by providing notice to Younet pursuant to the terms of the Agreement (the “Extension Notice”). Pursuant to the Agreement, Younet shall also provide to the Company certain deliverables and services related to the Researgency Platform, with certain additional deliverables to be provided by Younet in the event of a Renewal Term, in each case with all operating costs relating to the Researgency Platform to be paid by the Company.</w:t>
      </w:r>
    </w:p>
    <w:p>
      <w:pPr>
        <w:pStyle w:val="TextBody"/>
        <w:bidi w:val="0"/>
        <w:spacing w:lineRule="auto" w:line="285" w:before="0" w:after="160"/>
        <w:ind w:left="0" w:right="0" w:firstLine="720"/>
        <w:jc w:val="left"/>
        <w:rPr/>
      </w:pPr>
      <w:r>
        <w:rPr/>
        <w:t> </w:t>
      </w:r>
      <w:r>
        <w:rPr>
          <w:rFonts w:ascii="Times New Roman;Times;serif" w:hAnsi="Times New Roman;Times;serif"/>
          <w:b w:val="false"/>
          <w:sz w:val="20"/>
        </w:rPr>
        <w:t>In consideration of the services to be performed by Younet under the Younet Agreement, the Company has agreed to pay to Younet for the Initial Term a cash fee of up to $530</w:t>
      </w:r>
      <w:r>
        <w:rPr>
          <w:rFonts w:ascii="Times New Roman;Times;serif" w:hAnsi="Times New Roman;Times;serif"/>
          <w:b/>
          <w:sz w:val="20"/>
        </w:rPr>
        <w:t xml:space="preserve"> </w:t>
      </w:r>
      <w:r>
        <w:rPr>
          <w:rFonts w:ascii="Times New Roman;Times;serif" w:hAnsi="Times New Roman;Times;serif"/>
          <w:b w:val="false"/>
          <w:sz w:val="20"/>
        </w:rPr>
        <w:t>consisting of (i) $80</w:t>
      </w:r>
      <w:r>
        <w:rPr>
          <w:rFonts w:ascii="Times New Roman;Times;serif" w:hAnsi="Times New Roman;Times;serif"/>
          <w:b/>
          <w:sz w:val="20"/>
        </w:rPr>
        <w:t xml:space="preserve"> </w:t>
      </w:r>
      <w:r>
        <w:rPr>
          <w:rFonts w:ascii="Times New Roman;Times;serif" w:hAnsi="Times New Roman;Times;serif"/>
          <w:b w:val="false"/>
          <w:sz w:val="20"/>
        </w:rPr>
        <w:t>in cash, which was paid by the Company on the Effective Date, and (ii) in the event the Company delivers to Younet a written notice electing to engage Younet for the continued development of Researgency, $450</w:t>
      </w:r>
      <w:r>
        <w:rPr>
          <w:rFonts w:ascii="Times New Roman;Times;serif" w:hAnsi="Times New Roman;Times;serif"/>
          <w:b/>
          <w:sz w:val="20"/>
        </w:rPr>
        <w:t xml:space="preserve"> </w:t>
      </w:r>
      <w:r>
        <w:rPr>
          <w:rFonts w:ascii="Times New Roman;Times;serif" w:hAnsi="Times New Roman;Times;serif"/>
          <w:b w:val="false"/>
          <w:sz w:val="20"/>
        </w:rPr>
        <w:t>in cash, payable in 9</w:t>
      </w:r>
      <w:r>
        <w:rPr>
          <w:rFonts w:ascii="Times New Roman;Times;serif" w:hAnsi="Times New Roman;Times;serif"/>
          <w:b/>
          <w:sz w:val="20"/>
        </w:rPr>
        <w:t xml:space="preserve"> </w:t>
      </w:r>
      <w:r>
        <w:rPr>
          <w:rFonts w:ascii="Times New Roman;Times;serif" w:hAnsi="Times New Roman;Times;serif"/>
          <w:b w:val="false"/>
          <w:sz w:val="20"/>
        </w:rPr>
        <w:t>monthly installments of $50, pursuant to the terms of the Agreement. Such notice may be provided at any time on or after the first business day of the third month following the Effective Date and such continued development may be terminated upon 30 days</w:t>
      </w:r>
      <w:r>
        <w:rPr>
          <w:rFonts w:ascii="Times New Roman;Times;serif" w:hAnsi="Times New Roman;Times;serif"/>
          <w:b/>
          <w:sz w:val="20"/>
        </w:rPr>
        <w:t xml:space="preserve"> </w:t>
      </w:r>
      <w:r>
        <w:rPr>
          <w:rFonts w:ascii="Times New Roman;Times;serif" w:hAnsi="Times New Roman;Times;serif"/>
          <w:b w:val="false"/>
          <w:sz w:val="20"/>
        </w:rPr>
        <w:t>notice by the Company. In addition, the Company issued Younet 100,000</w:t>
      </w:r>
      <w:r>
        <w:rPr>
          <w:rFonts w:ascii="Times New Roman;Times;serif" w:hAnsi="Times New Roman;Times;serif"/>
          <w:b/>
          <w:sz w:val="20"/>
        </w:rPr>
        <w:t xml:space="preserve"> </w:t>
      </w:r>
      <w:r>
        <w:rPr>
          <w:rFonts w:ascii="Times New Roman;Times;serif" w:hAnsi="Times New Roman;Times;serif"/>
          <w:b w:val="false"/>
          <w:sz w:val="20"/>
        </w:rPr>
        <w:t>shares of the Company’s common stock, par value $0.001</w:t>
      </w:r>
      <w:r>
        <w:rPr>
          <w:rFonts w:ascii="Times New Roman;Times;serif" w:hAnsi="Times New Roman;Times;serif"/>
          <w:b/>
          <w:sz w:val="20"/>
        </w:rPr>
        <w:t xml:space="preserve"> </w:t>
      </w:r>
      <w:r>
        <w:rPr>
          <w:rFonts w:ascii="Times New Roman;Times;serif" w:hAnsi="Times New Roman;Times;serif"/>
          <w:b w:val="false"/>
          <w:sz w:val="20"/>
        </w:rPr>
        <w:t>per share (the “Common Stock”). In addition, each time the Younet Agreement is extended for a Renewal Term, the Company shall (i) pay to Younet $250</w:t>
      </w:r>
      <w:r>
        <w:rPr>
          <w:rFonts w:ascii="Times New Roman;Times;serif" w:hAnsi="Times New Roman;Times;serif"/>
          <w:b/>
          <w:sz w:val="20"/>
        </w:rPr>
        <w:t xml:space="preserve"> </w:t>
      </w:r>
      <w:r>
        <w:rPr>
          <w:rFonts w:ascii="Times New Roman;Times;serif" w:hAnsi="Times New Roman;Times;serif"/>
          <w:b w:val="false"/>
          <w:sz w:val="20"/>
        </w:rPr>
        <w:t>in cash and (ii) issue to Younet 100,000</w:t>
      </w:r>
      <w:r>
        <w:rPr>
          <w:rFonts w:ascii="Times New Roman;Times;serif" w:hAnsi="Times New Roman;Times;serif"/>
          <w:b/>
          <w:sz w:val="20"/>
        </w:rPr>
        <w:t xml:space="preserve"> </w:t>
      </w:r>
      <w:r>
        <w:rPr>
          <w:rFonts w:ascii="Times New Roman;Times;serif" w:hAnsi="Times New Roman;Times;serif"/>
          <w:b w:val="false"/>
          <w:sz w:val="20"/>
        </w:rPr>
        <w:t xml:space="preserve">shares of Common Stock within </w:t>
      </w:r>
      <w:r>
        <w:rPr>
          <w:rFonts w:ascii="Times New Roman;Times;serif" w:hAnsi="Times New Roman;Times;serif"/>
          <w:b w:val="false"/>
          <w:i w:val="false"/>
          <w:caps w:val="false"/>
          <w:smallCaps w:val="false"/>
          <w:sz w:val="20"/>
        </w:rPr>
        <w:t>10</w:t>
      </w:r>
      <w:r>
        <w:rPr>
          <w:rFonts w:ascii="Times New Roman;Times;serif" w:hAnsi="Times New Roman;Times;serif"/>
          <w:b/>
          <w:sz w:val="20"/>
        </w:rPr>
        <w:t xml:space="preserve"> </w:t>
      </w:r>
      <w:r>
        <w:rPr>
          <w:rFonts w:ascii="Times New Roman;Times;serif" w:hAnsi="Times New Roman;Times;serif"/>
          <w:b w:val="false"/>
          <w:sz w:val="20"/>
        </w:rPr>
        <w:t>business days of the Extension Notice. Except for certain block trades, during the Initial Term and for the twelve months thereafter, Younet shall not sell any Younet Shares on any trading day (as defined in the Younet Agreement) in an amount that exceeds 3%</w:t>
      </w:r>
      <w:r>
        <w:rPr>
          <w:rFonts w:ascii="Times New Roman;Times;serif" w:hAnsi="Times New Roman;Times;serif"/>
          <w:b/>
          <w:sz w:val="20"/>
        </w:rPr>
        <w:t xml:space="preserve"> </w:t>
      </w:r>
      <w:r>
        <w:rPr>
          <w:rFonts w:ascii="Times New Roman;Times;serif" w:hAnsi="Times New Roman;Times;serif"/>
          <w:b w:val="false"/>
          <w:sz w:val="20"/>
        </w:rPr>
        <w:t>of the Daily Trading Volume (as defined in the Younet Agreement) for such Trading Day.</w:t>
      </w:r>
    </w:p>
    <w:p>
      <w:pPr>
        <w:pStyle w:val="TextBody"/>
        <w:bidi w:val="0"/>
        <w:spacing w:lineRule="auto" w:line="285" w:before="0" w:after="160"/>
        <w:ind w:left="0" w:right="0" w:firstLine="720"/>
        <w:jc w:val="left"/>
        <w:rPr>
          <w:rFonts w:ascii="Times New Roman;Times;serif" w:hAnsi="Times New Roman;Times;serif"/>
          <w:b/>
          <w:sz w:val="20"/>
        </w:rPr>
      </w:pPr>
      <w:r>
        <w:rPr>
          <w:rFonts w:ascii="Times New Roman;Times;serif" w:hAnsi="Times New Roman;Times;serif"/>
          <w:b w:val="false"/>
          <w:sz w:val="20"/>
        </w:rPr>
        <w:t>In addition, Younet has granted to the Company an irrevocable option, exercisable at any time during the Initial Term or any Renewal Terms, to acquire all of the issued and outstanding equity interests of Younet, or, at the Company’s election, substantially all of the assets of Younet, for a total purchase price of $55,000, subject to the terms of the Younet Agreement. As of the date of this report, the Company paid Younet approximately $200</w:t>
      </w:r>
      <w:r>
        <w:rPr>
          <w:rFonts w:ascii="Times New Roman;Times;serif" w:hAnsi="Times New Roman;Times;serif"/>
          <w:b/>
          <w:sz w:val="20"/>
        </w:rPr>
        <w:t xml:space="preserve"> </w:t>
      </w:r>
      <w:r>
        <w:rPr>
          <w:rFonts w:ascii="Times New Roman;Times;serif" w:hAnsi="Times New Roman;Times;serif"/>
          <w:b w:val="false"/>
          <w:sz w:val="20"/>
        </w:rPr>
        <w:t>in cash and issued the initial shares of Common Stock contemplated by the Younet License Agreement.</w:t>
      </w:r>
    </w:p>
    <w:p>
      <w:pPr>
        <w:pStyle w:val="TextBody"/>
        <w:bidi w:val="0"/>
        <w:spacing w:lineRule="auto" w:line="285" w:before="0" w:after="160"/>
        <w:ind w:left="0" w:right="0" w:firstLine="720"/>
        <w:jc w:val="left"/>
        <w:rPr/>
      </w:pPr>
      <w:r>
        <w:rPr/>
        <w:t> </w:t>
      </w:r>
      <w:r>
        <w:rPr>
          <w:rFonts w:ascii="Times New Roman;Times;serif" w:hAnsi="Times New Roman;Times;serif"/>
          <w:b w:val="false"/>
          <w:sz w:val="20"/>
        </w:rPr>
        <w:t>If the Company does not deliver an Extension Notice prior to the expiration of the Initial Term or any Renewal Term, the Agreement shall expire automatically at the end of the applicable term. In addition, the Younet Agreement may be terminated by either party (i) for uncured material breach or (ii) due to the insolvency of the other party. Upon termination or expiration, (a) the Exclusive License will terminated, (b) all licenses granted to Younet with respect to KALA Data (as defined in the Younet Agreement) will immediately terminate, (c) all licenses granted to the Company with respect to Younet Background IP (as defined in the Younet Agreement) will survive in accordance with their terms, and (d) all Work Product (as defined in the Younet Agreement) completed as of the date of termination shall be delivered to and owned by the Company.</w:t>
      </w:r>
    </w:p>
    <w:p>
      <w:pPr>
        <w:pStyle w:val="TextBody"/>
        <w:bidi w:val="0"/>
        <w:spacing w:lineRule="auto" w:line="307" w:before="0" w:after="0"/>
        <w:ind w:left="0" w:right="0" w:hanging="0"/>
        <w:jc w:val="left"/>
        <w:rPr/>
      </w:pPr>
      <w:r>
        <w:rPr>
          <w:caps w:val="false"/>
          <w:smallCaps w:val="false"/>
        </w:rPr>
        <w:t> </w:t>
      </w:r>
      <w:r>
        <w:rPr>
          <w:rFonts w:ascii="Times New Roman;Times;serif" w:hAnsi="Times New Roman;Times;serif"/>
          <w:sz w:val="20"/>
        </w:rPr>
        <w:t>The Younet Agreement additionally includes customary representations and warranties, covenants, and indemnification obligations for a transaction of this nature.</w:t>
      </w:r>
    </w:p>
    <w:p>
      <w:pPr>
        <w:pStyle w:val="TextBody"/>
        <w:bidi w:val="0"/>
        <w:spacing w:lineRule="auto" w:line="285" w:before="0" w:after="0"/>
        <w:ind w:left="0" w:right="0" w:hanging="0"/>
        <w:jc w:val="left"/>
        <w:rPr/>
      </w:pPr>
      <w:r>
        <w:rPr/>
        <w:t>​</w:t>
      </w:r>
    </w:p>
    <w:p>
      <w:pPr>
        <w:pStyle w:val="TextBody"/>
        <w:bidi w:val="0"/>
        <w:spacing w:lineRule="auto" w:line="304" w:before="0" w:after="160"/>
        <w:ind w:left="0" w:right="0" w:hanging="0"/>
        <w:jc w:val="left"/>
        <w:rPr>
          <w:rFonts w:ascii="Times New Roman;Times;serif" w:hAnsi="Times New Roman;Times;serif"/>
          <w:b/>
          <w:sz w:val="20"/>
        </w:rPr>
      </w:pPr>
      <w:r>
        <w:rPr>
          <w:rFonts w:ascii="Times New Roman;Times;serif" w:hAnsi="Times New Roman;Times;serif"/>
          <w:b/>
          <w:sz w:val="20"/>
        </w:rPr>
        <w:t xml:space="preserve">5. SHORT-TERM INVESTMENT </w:t>
      </w:r>
    </w:p>
    <w:p>
      <w:pPr>
        <w:pStyle w:val="TextBody"/>
        <w:bidi w:val="0"/>
        <w:spacing w:lineRule="auto" w:line="285" w:before="0" w:after="160"/>
        <w:ind w:left="0" w:right="0" w:firstLine="720"/>
        <w:jc w:val="left"/>
        <w:rPr>
          <w:rFonts w:ascii="Times New Roman;Times;serif" w:hAnsi="Times New Roman;Times;serif"/>
          <w:b/>
          <w:sz w:val="20"/>
        </w:rPr>
      </w:pPr>
      <w:r>
        <w:rPr>
          <w:rFonts w:ascii="Times New Roman;Times;serif" w:hAnsi="Times New Roman;Times;serif"/>
          <w:b w:val="false"/>
          <w:sz w:val="20"/>
        </w:rPr>
        <w:t>On February 9, 2026, the Company made a loan (the “Loan”) in the principal amount of $7,000</w:t>
      </w:r>
      <w:r>
        <w:rPr>
          <w:rFonts w:ascii="Times New Roman;Times;serif" w:hAnsi="Times New Roman;Times;serif"/>
          <w:b/>
          <w:sz w:val="20"/>
        </w:rPr>
        <w:t xml:space="preserve"> </w:t>
      </w:r>
      <w:r>
        <w:rPr>
          <w:rFonts w:ascii="Times New Roman;Times;serif" w:hAnsi="Times New Roman;Times;serif"/>
          <w:b w:val="false"/>
          <w:sz w:val="20"/>
        </w:rPr>
        <w:t>evidenced by a secured promissory note (the “Note”) to Minglemint Solutions LLC (“Minglemint” or “Borrower”) in connection with the Company’s determination that a portion of its cash on hand was in excess of its near-term working capital requirements and operational needs. In order to optimize the return on such excess cash, rather than holding the full balance in a bank deposit account, which offered a materially lower yield, the Company elected to deploy that portion into the Loan, which bears interest at a rate of 8.0%</w:t>
      </w:r>
      <w:r>
        <w:rPr>
          <w:rFonts w:ascii="Times New Roman;Times;serif" w:hAnsi="Times New Roman;Times;serif"/>
          <w:b/>
          <w:sz w:val="20"/>
        </w:rPr>
        <w:t xml:space="preserve"> </w:t>
      </w:r>
      <w:r>
        <w:rPr>
          <w:rFonts w:ascii="Times New Roman;Times;serif" w:hAnsi="Times New Roman;Times;serif"/>
          <w:b w:val="false"/>
          <w:sz w:val="20"/>
        </w:rPr>
        <w:t xml:space="preserve">per annum. The Company believes that the interest rate obtained under the Loan, together with the security interest granted to the Company over all fixtures and personal property of the Borrower, provides a more favorable risk-adjusted return on idle cash than the return available through conventional bank deposit arrangements, while preserving the Company’s ability to meet its anticipated working capital and operational obligations.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firstLine="720"/>
        <w:jc w:val="left"/>
        <w:rPr>
          <w:rFonts w:ascii="Times New Roman;Times;serif" w:hAnsi="Times New Roman;Times;serif"/>
          <w:b/>
          <w:sz w:val="20"/>
        </w:rPr>
      </w:pPr>
      <w:r>
        <w:rPr>
          <w:rFonts w:ascii="Times New Roman;Times;serif" w:hAnsi="Times New Roman;Times;serif"/>
          <w:b w:val="false"/>
          <w:sz w:val="20"/>
        </w:rPr>
        <w:t>The Note includes customary event of default provisions, including, but not limited to, for a breach of any representations and warranties or covenants, any bankruptcy or insolvency proceedings of the Borrower, and the failure of the Borrower to pay, upon 15 days</w:t>
      </w:r>
      <w:r>
        <w:rPr>
          <w:rFonts w:ascii="Times New Roman;Times;serif" w:hAnsi="Times New Roman;Times;serif"/>
          <w:b/>
          <w:sz w:val="20"/>
        </w:rPr>
        <w:t xml:space="preserve">’ </w:t>
      </w:r>
      <w:r>
        <w:rPr>
          <w:rFonts w:ascii="Times New Roman;Times;serif" w:hAnsi="Times New Roman;Times;serif"/>
          <w:b w:val="false"/>
          <w:sz w:val="20"/>
        </w:rPr>
        <w:t xml:space="preserve">written notice of default, any principal amount of the Loan or interest due. The Note provides for a default interest rate of 13.0%. As described in the Note, upon the occurrence of certain events of default, the Company may, among other remedies, declare the outstanding balance of the Note including all accrued interest thereon immediately due and payable. </w:t>
      </w:r>
    </w:p>
    <w:p>
      <w:pPr>
        <w:pStyle w:val="TextBody"/>
        <w:bidi w:val="0"/>
        <w:spacing w:lineRule="auto" w:line="304" w:before="0" w:after="160"/>
        <w:ind w:left="0" w:right="0" w:firstLine="720"/>
        <w:jc w:val="left"/>
        <w:rPr>
          <w:rFonts w:ascii="Times New Roman;Times;serif" w:hAnsi="Times New Roman;Times;serif"/>
          <w:sz w:val="20"/>
        </w:rPr>
      </w:pPr>
      <w:r>
        <w:rPr>
          <w:rFonts w:ascii="Times New Roman;Times;serif" w:hAnsi="Times New Roman;Times;serif"/>
          <w:sz w:val="20"/>
        </w:rPr>
        <w:t>The Note is secured by a continuing first priority lien and security interest in all fixtures and personal property of the Borrower (the “Collateral”), pursuant to the security agreement with the Borrower dated February 9, 2026 (the “Security Agreement”). The Collateral includes, but is not limited to, all accounts, goods, documents, instruments, securities and investment properties, money, accounts and rights to payment of the Borrower, a</w:t>
      </w:r>
      <w:r>
        <w:rPr>
          <w:rFonts w:ascii="Times New Roman;Times;serif" w:hAnsi="Times New Roman;Times;serif"/>
          <w:sz w:val="20"/>
          <w:shd w:fill="FFFFFF" w:val="clear"/>
        </w:rPr>
        <w:t>nd any proceeds, records and obligations relat</w:t>
      </w:r>
      <w:r>
        <w:rPr>
          <w:rFonts w:ascii="Times New Roman;Times;serif" w:hAnsi="Times New Roman;Times;serif"/>
          <w:sz w:val="20"/>
        </w:rPr>
        <w:t>ing to the foregoing, as more fully detailed in the Security Agreement.</w:t>
      </w:r>
    </w:p>
    <w:p>
      <w:pPr>
        <w:pStyle w:val="TextBody"/>
        <w:bidi w:val="0"/>
        <w:spacing w:lineRule="auto" w:line="285" w:before="0" w:after="160"/>
        <w:ind w:left="0" w:right="0" w:firstLine="720"/>
        <w:jc w:val="left"/>
        <w:rPr>
          <w:rFonts w:ascii="Times New Roman;Times;serif" w:hAnsi="Times New Roman;Times;serif"/>
          <w:b/>
          <w:sz w:val="20"/>
        </w:rPr>
      </w:pPr>
      <w:r>
        <w:rPr>
          <w:rFonts w:ascii="Times New Roman;Times;serif" w:hAnsi="Times New Roman;Times;serif"/>
          <w:b w:val="false"/>
          <w:sz w:val="20"/>
        </w:rPr>
        <w:t>On May 11, 2026, the Company and the Borrower entered into a Note Amending Agreement (the “Loan Amendment”) which added a provision that the Company has the right at any time and from time to time, on no less than 45 days</w:t>
      </w:r>
      <w:r>
        <w:rPr>
          <w:rFonts w:ascii="Times New Roman;Times;serif" w:hAnsi="Times New Roman;Times;serif"/>
          <w:b/>
          <w:sz w:val="20"/>
        </w:rPr>
        <w:t xml:space="preserve">’ </w:t>
      </w:r>
      <w:r>
        <w:rPr>
          <w:rFonts w:ascii="Times New Roman;Times;serif" w:hAnsi="Times New Roman;Times;serif"/>
          <w:b w:val="false"/>
          <w:sz w:val="20"/>
        </w:rPr>
        <w:t>notice, to demand repayment of all or any portion of the outstanding principal amount of the Loan, including all accrued and unpaid interest thereon and any other amounts owing under the Note by delivering written notice to the Borrower (a “Call Notice”). The Borrower agrees to repay the amount in the Call Notice, and any amount not timely repaid will accrue interest at the default interest rate of 13.0%.</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On July 21, 2026, the Borrower repaid $44 for accrued interest. On August 14, 2026, the Company delivered a Call Notice to the Borrower demanding repayment of approximately $1,000 of the outstanding principal amount, together with accrued and unpaid interest thereon, which the Borrower is required to repay within 45 days of the Call Notice.</w:t>
      </w:r>
    </w:p>
    <w:p>
      <w:pPr>
        <w:pStyle w:val="TextBody"/>
        <w:bidi w:val="0"/>
        <w:spacing w:lineRule="auto" w:line="307" w:before="0" w:after="160"/>
        <w:ind w:left="0" w:right="0" w:hanging="0"/>
        <w:jc w:val="left"/>
        <w:rPr>
          <w:rFonts w:ascii="Times New Roman;Times;serif" w:hAnsi="Times New Roman;Times;serif"/>
          <w:b/>
          <w:sz w:val="20"/>
        </w:rPr>
      </w:pPr>
      <w:r>
        <w:rPr>
          <w:rFonts w:ascii="Times New Roman;Times;serif" w:hAnsi="Times New Roman;Times;serif"/>
          <w:b/>
          <w:sz w:val="20"/>
        </w:rPr>
        <w:t>6. GRANT INCOME</w:t>
      </w:r>
    </w:p>
    <w:p>
      <w:pPr>
        <w:pStyle w:val="TextBody"/>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CIRM Award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2, 2023, Combangio, a wholly owned subsidiary of the Company, entered into an award agreement with CIRM for a $15,000 grant (as amended from time to time, the “CIRM Award”) to support Combangio’s KPI-012 program for the treatment of PCED. The CIRM Award includes funding for the CHASE Phase 2b clinical trial of KPI-012 for PCED, as well as product and process characterization and analytical development for the program. On September 29, 2025, the Company announced that the CHASE trial of KPI-012 for the treatment of PCED did not meet the primary endpoint of complete healing of PCED as measured by corneal fluorescein staining. The CHASE trial also failed to achieve statistical significance for key secondary efficacy endpoints and did not show any meaningful difference between either KPI-012 treatment arm and the placebo arm. Based on the CHASE trial results, we determined to cease development of KPI-012 and our MSC-S platform.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June 30, 2026, the Company did not recognize any grant income. During the three and six months ended June 30, 2025, the Company recognized $547 and $2,897 of grant income, respectively, related to the CIRM Award on its condensed consolidated statement of operations. As of June 30, 2026 and December 31, 2025, the Company had deferred grant income of $0 on its condensed consolidated balance sheet.</w:t>
      </w:r>
      <w:r>
        <w:rPr>
          <w:rFonts w:ascii="Times New Roman;Times;serif" w:hAnsi="Times New Roman;Times;serif"/>
          <w:sz w:val="20"/>
          <w:shd w:fill="FFFFFF" w:val="clear"/>
        </w:rPr>
        <w:t xml:space="preserve"> </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645" w:name="Tc_vyT2yZ67VEGizjAU6Hs0Tg_7_5"/>
      <w:bookmarkStart w:id="1646" w:name="Tc_zj-3YqO2Nk2Dtkl1_X15Ug_7_2"/>
      <w:bookmarkStart w:id="1647" w:name="Tc_OQp-Y32j6UiwUvzOegqWYA_7_0"/>
      <w:bookmarkStart w:id="1648" w:name="Tc_kibScYPKp028Jxiw8LxPIw_6_0"/>
      <w:bookmarkStart w:id="1649" w:name="Tc_q3653w7S_kyDDzIsNLFlrw_5_6"/>
      <w:bookmarkStart w:id="1650" w:name="Tc_kZRcSSBgikGicum8ElMr-Q_5_0"/>
      <w:bookmarkStart w:id="1651" w:name="Tc_jmbdZyKTP0uIkoU-0IShPw_4_6"/>
      <w:bookmarkStart w:id="1652" w:name="Tc_HIHdAhOICUSLfzhqpKj8dA_4_0"/>
      <w:bookmarkStart w:id="1653" w:name="Tc_VxFS6rC0XEaeeDpTaIohiA_3_5"/>
      <w:bookmarkStart w:id="1654" w:name="Tc_nh4mzlo8HEavojgdmNSf8g_3_2"/>
      <w:bookmarkStart w:id="1655" w:name="Tc_imSxHmY3F0qabooEjgvsOg_3_0"/>
      <w:bookmarkStart w:id="1656" w:name="Tc_TWpyD_S06UmaH6rNQhZStQ_2_5"/>
      <w:bookmarkStart w:id="1657" w:name="Tc_40CCiG4dRkGvqvFOtmlZnA_2_2"/>
      <w:bookmarkStart w:id="1658" w:name="Tc_eh5zO156LkWliZSWEIyV2A_1_5"/>
      <w:bookmarkStart w:id="1659" w:name="Tc_14QT0rJmEkG9o8fAqpoGPw_1_2"/>
      <w:bookmarkStart w:id="1660" w:name="_78d55a10_808f_479a_ae46_5dc1924215fe"/>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r>
        <w:rPr>
          <w:rFonts w:ascii="Times New Roman;Times;serif" w:hAnsi="Times New Roman;Times;serif"/>
          <w:b/>
          <w:sz w:val="20"/>
        </w:rPr>
        <w:t>7. PREPAID EXPENSES AND OTHER CURRENT ASSETS</w:t>
      </w:r>
    </w:p>
    <w:p>
      <w:pPr>
        <w:pStyle w:val="TextBody"/>
        <w:bidi w:val="0"/>
        <w:spacing w:lineRule="auto" w:line="285" w:before="0" w:after="24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Prepaid expenses and other current assets, consists of the following:</w:t>
      </w:r>
    </w:p>
    <w:p>
      <w:pPr>
        <w:pStyle w:val="TextBody"/>
        <w:bidi w:val="0"/>
        <w:spacing w:lineRule="auto" w:line="285" w:before="0" w:after="0"/>
        <w:ind w:left="0" w:right="0" w:hanging="0"/>
        <w:jc w:val="left"/>
        <w:rPr/>
      </w:pPr>
      <w:r>
        <w:rPr/>
        <w:t>​</w:t>
      </w:r>
    </w:p>
    <w:tbl>
      <w:tblPr>
        <w:tblW w:w="6110" w:type="dxa"/>
        <w:jc w:val="left"/>
        <w:tblInd w:w="0" w:type="dxa"/>
        <w:tblLayout w:type="fixed"/>
        <w:tblCellMar>
          <w:top w:w="0" w:type="dxa"/>
          <w:left w:w="0" w:type="dxa"/>
          <w:bottom w:w="0" w:type="dxa"/>
          <w:right w:w="0" w:type="dxa"/>
        </w:tblCellMar>
      </w:tblPr>
      <w:tblGrid>
        <w:gridCol w:w="3451"/>
        <w:gridCol w:w="346"/>
        <w:gridCol w:w="211"/>
        <w:gridCol w:w="571"/>
        <w:gridCol w:w="346"/>
        <w:gridCol w:w="281"/>
        <w:gridCol w:w="904"/>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1385" cy="175260"/>
                      <wp:effectExtent l="0" t="0" r="0" b="0"/>
                      <wp:wrapNone/>
                      <wp:docPr id="198" name="Frame198"/>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62585" cy="175260"/>
                      <wp:effectExtent l="0" t="0" r="0" b="0"/>
                      <wp:wrapNone/>
                      <wp:docPr id="201" name="Frame2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78435" cy="175260"/>
                      <wp:effectExtent l="0" t="0" r="0" b="0"/>
                      <wp:wrapNone/>
                      <wp:docPr id="203" name="Frame20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74040" cy="175260"/>
                      <wp:effectExtent l="0" t="0" r="0" b="0"/>
                      <wp:wrapNone/>
                      <wp:docPr id="204" name="Frame204"/>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8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center"/>
              <w:rPr/>
            </w:pPr>
            <w:r>
              <w:rPr/>
              <w:t>​</w:t>
            </w:r>
          </w:p>
        </w:tc>
        <w:tc>
          <w:tcPr>
            <w:tcW w:w="1185"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1,078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1,570</w:t>
            </w:r>
          </w:p>
        </w:tc>
      </w:tr>
      <w:tr>
        <w:trPr/>
        <w:tc>
          <w:tcPr>
            <w:tcW w:w="345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Prepaid License Agreement - Younet (1)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1,755</w:t>
            </w:r>
          </w:p>
        </w:tc>
        <w:tc>
          <w:tcPr>
            <w:tcW w:w="34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w:t>
            </w:r>
          </w:p>
        </w:tc>
        <w:tc>
          <w:tcPr>
            <w:tcW w:w="904" w:type="dxa"/>
            <w:tcBorders/>
            <w:vAlign w:val="center"/>
          </w:tcPr>
          <w:p>
            <w:pPr>
              <w:pStyle w:val="TableContents"/>
              <w:bidi w:val="0"/>
              <w:spacing w:lineRule="auto" w:line="285" w:before="0" w:after="1"/>
              <w:ind w:left="0" w:right="0" w:hanging="0"/>
              <w:jc w:val="right"/>
              <w:rPr/>
            </w:pPr>
            <w:r>
              <w:rPr/>
              <w:t>—</w:t>
            </w:r>
          </w:p>
        </w:tc>
      </w:tr>
      <w:tr>
        <w:trPr/>
        <w:tc>
          <w:tcPr>
            <w:tcW w:w="345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Interest Receivables (2)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904" w:type="dxa"/>
            <w:tcBorders/>
            <w:shd w:fill="CCEEFF" w:val="clear"/>
            <w:vAlign w:val="center"/>
          </w:tcPr>
          <w:p>
            <w:pPr>
              <w:pStyle w:val="TableContents"/>
              <w:bidi w:val="0"/>
              <w:spacing w:lineRule="auto" w:line="285" w:before="0" w:after="1"/>
              <w:ind w:left="0" w:right="0" w:hanging="0"/>
              <w:jc w:val="right"/>
              <w:rPr/>
            </w:pPr>
            <w:r>
              <w:rPr/>
              <w:t>—</w:t>
            </w:r>
          </w:p>
        </w:tc>
      </w:tr>
      <w:tr>
        <w:trPr/>
        <w:tc>
          <w:tcPr>
            <w:tcW w:w="345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345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1,933</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7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issued to Younet 100,000</w:t>
            </w:r>
            <w:r>
              <w:rPr>
                <w:caps w:val="false"/>
                <w:smallCaps w:val="false"/>
              </w:rPr>
              <w:t xml:space="preserve"> </w:t>
            </w:r>
            <w:r>
              <w:rPr>
                <w:rFonts w:ascii="Times New Roman;Times;serif" w:hAnsi="Times New Roman;Times;serif"/>
                <w:b w:val="false"/>
                <w:i w:val="false"/>
                <w:caps w:val="false"/>
                <w:smallCaps w:val="false"/>
                <w:sz w:val="20"/>
              </w:rPr>
              <w:t>shares of the Company’s Common Stock. Amount represents 100,000</w:t>
            </w:r>
            <w:r>
              <w:rPr>
                <w:caps w:val="false"/>
                <w:smallCaps w:val="false"/>
              </w:rPr>
              <w:t xml:space="preserve"> </w:t>
            </w:r>
            <w:r>
              <w:rPr>
                <w:rFonts w:ascii="Times New Roman;Times;serif" w:hAnsi="Times New Roman;Times;serif"/>
                <w:b w:val="false"/>
                <w:i w:val="false"/>
                <w:caps w:val="false"/>
                <w:smallCaps w:val="false"/>
                <w:sz w:val="20"/>
              </w:rPr>
              <w:t>common shares at $17.55</w:t>
            </w:r>
            <w:r>
              <w:rPr>
                <w:caps w:val="false"/>
                <w:smallCaps w:val="false"/>
              </w:rPr>
              <w:t xml:space="preserve"> </w:t>
            </w:r>
            <w:r>
              <w:rPr>
                <w:rFonts w:ascii="Times New Roman;Times;serif" w:hAnsi="Times New Roman;Times;serif"/>
                <w:b w:val="false"/>
                <w:i w:val="false"/>
                <w:caps w:val="false"/>
                <w:smallCaps w:val="false"/>
                <w:sz w:val="20"/>
              </w:rPr>
              <w:t xml:space="preserve">per share, adjusted based on the recent reverse stock split. See “Note 4. License Agreement”. </w:t>
            </w:r>
          </w:p>
        </w:tc>
      </w:tr>
    </w:tbl>
    <w:tbl>
      <w:tblPr>
        <w:tblW w:w="9696" w:type="dxa"/>
        <w:jc w:val="left"/>
        <w:tblInd w:w="0" w:type="dxa"/>
        <w:tblLayout w:type="fixed"/>
        <w:tblCellMar>
          <w:top w:w="28" w:type="dxa"/>
          <w:left w:w="28" w:type="dxa"/>
          <w:bottom w:w="28" w:type="dxa"/>
          <w:right w:w="28" w:type="dxa"/>
        </w:tblCellMar>
      </w:tblPr>
      <w:tblGrid>
        <w:gridCol w:w="124"/>
        <w:gridCol w:w="31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receivables related to the loan to Minglemint. See “Note 5. Short-term Investment” for more information.</w:t>
            </w:r>
          </w:p>
        </w:tc>
      </w:tr>
    </w:tbl>
    <w:p>
      <w:pPr>
        <w:pStyle w:val="TextBody"/>
        <w:bidi w:val="0"/>
        <w:spacing w:lineRule="auto" w:line="285" w:before="0" w:after="24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661" w:name="Tc_AKGSt2o4fE2YIW7EF4b7OA_8_5"/>
      <w:bookmarkStart w:id="1662" w:name="Tc_qHE0slKthEioB86RXoWCow_8_2"/>
      <w:bookmarkStart w:id="1663" w:name="Tc_3fG-BNtCAk6WWxTihrUyqQ_8_0"/>
      <w:bookmarkStart w:id="1664" w:name="Tc_nd-ebfL4EkWm4wbJQjUYBQ_7_0"/>
      <w:bookmarkStart w:id="1665" w:name="Tc_qlFDK-AwCEyaHiKqVUhjNA_6_0"/>
      <w:bookmarkStart w:id="1666" w:name="Tc_bXnIsG3gcUuvASRyii8p3w_5_0"/>
      <w:bookmarkStart w:id="1667" w:name="Tc__8R1jLBmAEi28WWQPBYPtA_4_0"/>
      <w:bookmarkStart w:id="1668" w:name="Tc_Ywc__yJejkmuxqlnNPIElA_3_5"/>
      <w:bookmarkStart w:id="1669" w:name="Tc_W07VO8a0bU2EPhIc_zwJPg_3_3"/>
      <w:bookmarkStart w:id="1670" w:name="Tc_x5h61IuYiE2ssMS-Gd8JhA_3_2"/>
      <w:bookmarkStart w:id="1671" w:name="Tc_IuCF2HxdLkuuznpYhtmnFg_3_0"/>
      <w:bookmarkStart w:id="1672" w:name="Tc_ccUaM6sAhEum-YlAyBZCxA_2_5"/>
      <w:bookmarkStart w:id="1673" w:name="Tc_Nb33eGsN0k24EFwEI6-chQ_2_2"/>
      <w:bookmarkStart w:id="1674" w:name="Tc_WCgpeqXD70id8g4do4MImQ_1_5"/>
      <w:bookmarkStart w:id="1675" w:name="Tc_ZzWWGKfnD0iSV-AoIalffg_1_2"/>
      <w:bookmarkStart w:id="1676" w:name="_b94fd5e9_68e2_4e27_aae0_18ec73fb2b82"/>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r>
        <w:rPr>
          <w:rFonts w:ascii="Times New Roman;Times;serif" w:hAnsi="Times New Roman;Times;serif"/>
          <w:b/>
          <w:sz w:val="20"/>
        </w:rPr>
        <w:t>8. ACCRUED EXPENSES AND OTHER CURRENT LIABILITIES</w:t>
      </w:r>
    </w:p>
    <w:p>
      <w:pPr>
        <w:pStyle w:val="TextBody"/>
        <w:bidi w:val="0"/>
        <w:spacing w:lineRule="auto" w:line="285" w:before="0" w:after="120"/>
        <w:ind w:left="0" w:right="0" w:firstLine="720"/>
        <w:jc w:val="left"/>
        <w:rPr>
          <w:rFonts w:ascii="Times New Roman;Times;serif" w:hAnsi="Times New Roman;Times;serif"/>
          <w:sz w:val="20"/>
        </w:rPr>
      </w:pPr>
      <w:r>
        <w:rPr>
          <w:rFonts w:ascii="Times New Roman;Times;serif" w:hAnsi="Times New Roman;Times;serif"/>
          <w:sz w:val="20"/>
        </w:rPr>
        <w:t>Accrued expenses and other current liabilities consisted of the following:</w:t>
      </w:r>
    </w:p>
    <w:p>
      <w:pPr>
        <w:pStyle w:val="TextBody"/>
        <w:bidi w:val="0"/>
        <w:spacing w:lineRule="auto" w:line="285" w:before="0" w:after="0"/>
        <w:ind w:left="0" w:right="0" w:hanging="0"/>
        <w:jc w:val="left"/>
        <w:rPr/>
      </w:pPr>
      <w:r>
        <w:rPr/>
        <w:t>​</w:t>
      </w:r>
    </w:p>
    <w:tbl>
      <w:tblPr>
        <w:tblW w:w="6423" w:type="dxa"/>
        <w:jc w:val="left"/>
        <w:tblInd w:w="0" w:type="dxa"/>
        <w:tblLayout w:type="fixed"/>
        <w:tblCellMar>
          <w:top w:w="0" w:type="dxa"/>
          <w:left w:w="0" w:type="dxa"/>
          <w:bottom w:w="0" w:type="dxa"/>
          <w:right w:w="0" w:type="dxa"/>
        </w:tblCellMar>
      </w:tblPr>
      <w:tblGrid>
        <w:gridCol w:w="3826"/>
        <w:gridCol w:w="346"/>
        <w:gridCol w:w="254"/>
        <w:gridCol w:w="511"/>
        <w:gridCol w:w="346"/>
        <w:gridCol w:w="271"/>
        <w:gridCol w:w="869"/>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429510" cy="175260"/>
                      <wp:effectExtent l="0" t="0" r="0" b="0"/>
                      <wp:wrapNone/>
                      <wp:docPr id="205" name="Frame205"/>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1290" cy="175260"/>
                      <wp:effectExtent l="0" t="0" r="0" b="0"/>
                      <wp:wrapNone/>
                      <wp:docPr id="207" name="Frame207"/>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24485" cy="175260"/>
                      <wp:effectExtent l="0" t="0" r="0" b="0"/>
                      <wp:wrapNone/>
                      <wp:docPr id="208" name="Frame20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72085" cy="175260"/>
                      <wp:effectExtent l="0" t="0" r="0" b="0"/>
                      <wp:wrapNone/>
                      <wp:docPr id="210" name="Frame21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51815" cy="175260"/>
                      <wp:effectExtent l="0" t="0" r="0" b="0"/>
                      <wp:wrapNone/>
                      <wp:docPr id="211" name="Frame211"/>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8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38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Development costs</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38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revenue reserves (1)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w:t>
            </w:r>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38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38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38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46" w:type="dxa"/>
            <w:tcBorders/>
            <w:vAlign w:val="center"/>
          </w:tcPr>
          <w:p>
            <w:pPr>
              <w:pStyle w:val="TableContents"/>
              <w:bidi w:val="0"/>
              <w:spacing w:lineRule="auto" w:line="285"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1,508</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16" w:type="dxa"/>
            <w:tcBorders/>
            <w:tcMar>
              <w:top w:w="0" w:type="dxa"/>
              <w:left w:w="0" w:type="dxa"/>
              <w:bottom w:w="0" w:type="dxa"/>
              <w:right w:w="0" w:type="dxa"/>
            </w:tcMar>
            <w:vAlign w:val="center"/>
          </w:tcPr>
          <w:p>
            <w:pPr>
              <w:pStyle w:val="TableContents"/>
              <w:bidi w:val="0"/>
              <w:spacing w:before="0" w:after="283"/>
              <w:jc w:val="left"/>
              <w:rPr>
                <w:rFonts w:ascii="TimesNewRoman" w:hAnsi="TimesNewRoman"/>
                <w:b w:val="false"/>
                <w:i w:val="false"/>
                <w:caps w:val="false"/>
                <w:smallCaps w:val="false"/>
                <w:sz w:val="20"/>
              </w:rPr>
            </w:pPr>
            <w:r>
              <w:rPr>
                <w:rFonts w:ascii="TimesNewRoman" w:hAnsi="TimesNewRoman"/>
                <w:b w:val="false"/>
                <w:i w:val="false"/>
                <w:caps w:val="false"/>
                <w:smallCaps w:val="false"/>
                <w:sz w:val="20"/>
              </w:rPr>
              <w:t>These amounts represent estimated provisions for product returns, rebates and discounts, prior to the sale of the rights to manufacture, sell, distribute, market and commercialize EYSUVIS and INVELTYS and to develop, manufacture, market and otherwise exploit AMPPLIFY Drug Delivery Technology (the “Commercial Business”) to Alcon.. Estimated provisions were deducted from gross revenues at the time revenues were recognized and are included in accrued expenses and other current liabilities on the Company’s condensed consolidated balance sheets. These provisions reflected the Company’s best estimates of the amount of consideration to which it was entitled based on the terms of the contract.</w:t>
            </w:r>
          </w:p>
        </w:tc>
      </w:tr>
    </w:tbl>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9. PRIVATE PLACEMENTS</w:t>
      </w:r>
    </w:p>
    <w:p>
      <w:pPr>
        <w:pStyle w:val="TextBody"/>
        <w:bidi w:val="0"/>
        <w:spacing w:lineRule="auto" w:line="285" w:before="240" w:after="160"/>
        <w:ind w:left="0" w:right="0" w:firstLine="720"/>
        <w:jc w:val="left"/>
        <w:rPr>
          <w:rFonts w:ascii="Times New Roman;Times;serif" w:hAnsi="Times New Roman;Times;serif"/>
          <w:b/>
          <w:sz w:val="20"/>
        </w:rPr>
      </w:pPr>
      <w:r>
        <w:rPr>
          <w:rFonts w:ascii="Times New Roman;Times;serif" w:hAnsi="Times New Roman;Times;serif"/>
          <w:b/>
          <w:sz w:val="20"/>
        </w:rPr>
        <w:t xml:space="preserve">Series AAA Private Placement </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val="false"/>
          <w:sz w:val="20"/>
        </w:rPr>
        <w:t>On November 25, 2025, the Company entered into a Securities Purchase Agreement (the “November 2025 Purchase Agreement”), with a certain investor (the “Series AA Investor”), pursuant to which the Company agreed to issue and sell, in a private placement, shares of the Company’s Series AA Convertible Non-Redeemable Preferred Stock (“Series AA Preferred Stock”) and the Series AAA Preferred Stock of the Company in two</w:t>
      </w:r>
      <w:r>
        <w:rPr>
          <w:rFonts w:ascii="Times New Roman;Times;serif" w:hAnsi="Times New Roman;Times;serif"/>
          <w:b/>
          <w:sz w:val="20"/>
        </w:rPr>
        <w:t xml:space="preserve"> </w:t>
      </w:r>
      <w:r>
        <w:rPr>
          <w:rFonts w:ascii="Times New Roman;Times;serif" w:hAnsi="Times New Roman;Times;serif"/>
          <w:b w:val="false"/>
          <w:sz w:val="20"/>
        </w:rPr>
        <w:t>closings for aggregate gross proceeds of up to $6.0</w:t>
      </w:r>
      <w:r>
        <w:rPr>
          <w:rFonts w:ascii="Times New Roman;Times;serif" w:hAnsi="Times New Roman;Times;serif"/>
          <w:b/>
          <w:sz w:val="20"/>
        </w:rPr>
        <w:t xml:space="preserve"> </w:t>
      </w:r>
      <w:r>
        <w:rPr>
          <w:rFonts w:ascii="Times New Roman;Times;serif" w:hAnsi="Times New Roman;Times;serif"/>
          <w:b w:val="false"/>
          <w:sz w:val="20"/>
        </w:rPr>
        <w:t>million.</w:t>
      </w:r>
    </w:p>
    <w:p>
      <w:pPr>
        <w:pStyle w:val="TextBody"/>
        <w:bidi w:val="0"/>
        <w:spacing w:lineRule="auto" w:line="285" w:before="0" w:after="160"/>
        <w:ind w:left="0" w:right="0" w:firstLine="720"/>
        <w:jc w:val="left"/>
        <w:rPr>
          <w:rFonts w:ascii="Times New Roman;Times;serif" w:hAnsi="Times New Roman;Times;serif"/>
          <w:b w:val="false"/>
          <w:sz w:val="20"/>
        </w:rPr>
      </w:pPr>
      <w:r>
        <w:rPr>
          <w:rFonts w:ascii="Times New Roman;Times;serif" w:hAnsi="Times New Roman;Times;serif"/>
          <w:b w:val="false"/>
          <w:sz w:val="20"/>
        </w:rPr>
        <w:t xml:space="preserve">On December 11, 2025, the Series AA Investor transferred his rights and obligations under the Series AA Purchase Agreement solely with respect to the shares of Series AAA Preferred Stock and the director nomination rights to AK Holdings Group Inc., a Panamanian company (“AK Holdings”). On January 29, 2026, pursuant to the terms of a certain Rights Purchase Agreement, by and among AK Holdings and the “Series AAA Investors, AK Holdings sold its rights to purchase the Series AAA Preferred Stock (but not its director nomination rights under the November 2025 Purchase Agreement) to the Series AAA Investors.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On January 30, 2026, the Company entered into the “Series AAA Purchase Agreement with each of the Series AAA Investors pursuant to which the Company agreed to issue and sell to the Series AAA Investors in the Series AAA Private Placement, an aggregate of 2,100,000 shares of Series AAA Preferred Stock at a price per share of Series AAA Preferred Stock equal to $2.00, for aggregate gross proceeds of $4,200. The Series AAA Closing occurred on January 30, 2026, following (A) the approval at our 2025 annual meeting of stockholders (the “2025 Annual Meeting”) of the proposals to (i) the issue shares of our Common Stock upon conversion of our Series AA Convertible Preferred Stock and Series AAA Convertible Preferred Stock in accordance with Nasdaq Listing Rules 5635(b) and 5635(d) and (ii) amend our Restated Certificate of Incorporation, as amended, to increase the number of authorized shares of Common Stock to 1,500,000,000, (B) the filing with the Secretary of State of the State of Delaware of the (i) Certificate of Amendment and (ii) Certificate of Designations, Preferences and Rights of Series AAA Convertible Non-Redeemable Preferred Stock (the “Series AAA Certificate of Designations”), and (C) the satisfaction of other customary closing conditions. The terms of the Series AAA Preferred Stock are substantially similar to the terms of the Series AA Preferred Stock. Each share of Series AAA Preferred Stock was convertible into 8.4 shares of Common Stock for an aggregate total of 17,640,000 shares of Common Stock issuable upon conversion of the Series AAA Preferred Stock. The Series AAA Purchase Agreement contains customary representations, warranties and agreements by the Company and customary closing conditions. The representations, warranties and covenants contained in the Purchase Agreement were made solely for the benefit of the parties thereto and as of specific dates and may be subject to limitations agreed upon by the contracting parties. As of June 30, 2026, all of the shares of Series AA and AAA Preferred Stock have been converted to shares of Common Stock.</w:t>
      </w:r>
    </w:p>
    <w:p>
      <w:pPr>
        <w:pStyle w:val="TextBody"/>
        <w:bidi w:val="0"/>
        <w:spacing w:lineRule="auto" w:line="285" w:before="0" w:after="0"/>
        <w:ind w:left="0" w:right="0" w:hanging="0"/>
        <w:jc w:val="left"/>
        <w:rPr>
          <w:rFonts w:ascii="Times New Roman;Times;serif" w:hAnsi="Times New Roman;Times;serif"/>
          <w:b/>
          <w:sz w:val="20"/>
        </w:rPr>
      </w:pPr>
      <w:bookmarkStart w:id="1677" w:name="Tc_UDovgNgQ7k6WJ9SBCps_rw_4_7"/>
      <w:bookmarkStart w:id="1678" w:name="Tc_FpYL3WB8j02067-5j3lMTQ_4_5"/>
      <w:bookmarkStart w:id="1679" w:name="Tc_smlskADJA0m7EqYfsQsKWw_4_2"/>
      <w:bookmarkStart w:id="1680" w:name="Tc_IUL4P-NJDEueoEh0eNyJgA_4_0"/>
      <w:bookmarkStart w:id="1681" w:name="Tc_SAJclU6suk6fq2xHOMuFeA_3_11"/>
      <w:bookmarkStart w:id="1682" w:name="Tc_mpBDJASfvUCq3hrsatGlbQ_3_9"/>
      <w:bookmarkStart w:id="1683" w:name="Tc_KPEimzT6W0SZXXbjbrZTJw_3_7"/>
      <w:bookmarkStart w:id="1684" w:name="Tc_RXD-axnfEUO19d4KWr0SZA_3_5"/>
      <w:bookmarkStart w:id="1685" w:name="Tc_905GFucjZ0C2uYAW3xJg7Q_3_2"/>
      <w:bookmarkStart w:id="1686" w:name="Tc_Z77HWmYF70Kp6kvJGqtJKA_3_0"/>
      <w:bookmarkStart w:id="1687" w:name="Tc_FsEMdbaBZUaVN4xvMLMWhw_2_11"/>
      <w:bookmarkStart w:id="1688" w:name="Tc_zHau-l_pQUqq-I13d4Qrhw_2_9"/>
      <w:bookmarkStart w:id="1689" w:name="Tc_HRWB0DI4tEandY-jIcf1tg_2_7"/>
      <w:bookmarkStart w:id="1690" w:name="Tc_4fYyHbCwhkGkvZVfCRXDIA_2_5"/>
      <w:bookmarkStart w:id="1691" w:name="Tc_PHFuSuyE20SWUhuTeNTMCg_2_2"/>
      <w:bookmarkStart w:id="1692" w:name="Tc_VYl5nlofCkSYVf2kafojrQ_1_9"/>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r>
        <w:rPr>
          <w:rFonts w:ascii="Times New Roman;Times;serif" w:hAnsi="Times New Roman;Times;serif"/>
          <w:b/>
          <w:sz w:val="20"/>
        </w:rPr>
        <w:t>10. WARRANTS</w:t>
      </w:r>
    </w:p>
    <w:p>
      <w:pPr>
        <w:pStyle w:val="TextBody"/>
        <w:bidi w:val="0"/>
        <w:spacing w:lineRule="auto" w:line="285" w:before="0" w:after="240"/>
        <w:ind w:left="0" w:right="0" w:firstLine="720"/>
        <w:jc w:val="left"/>
        <w:rPr/>
      </w:pPr>
      <w:r>
        <w:rPr/>
        <w:t>​</w:t>
      </w:r>
    </w:p>
    <w:p>
      <w:pPr>
        <w:pStyle w:val="TextBody"/>
        <w:bidi w:val="0"/>
        <w:spacing w:lineRule="auto" w:line="285"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common stock warrants outstanding as of June 30, 2026 and December 31, 2025, each exercisable into the number of shares of common stock set forth below as of the specified dates:</w:t>
      </w:r>
    </w:p>
    <w:p>
      <w:pPr>
        <w:pStyle w:val="TextBody"/>
        <w:bidi w:val="0"/>
        <w:spacing w:lineRule="auto" w:line="285" w:before="0" w:after="0"/>
        <w:ind w:left="0" w:right="0" w:hanging="0"/>
        <w:jc w:val="left"/>
        <w:rPr/>
      </w:pPr>
      <w:r>
        <w:rPr/>
        <w:t>​</w:t>
      </w:r>
    </w:p>
    <w:tbl>
      <w:tblPr>
        <w:tblW w:w="7843" w:type="dxa"/>
        <w:jc w:val="left"/>
        <w:tblInd w:w="0" w:type="dxa"/>
        <w:tblLayout w:type="fixed"/>
        <w:tblCellMar>
          <w:top w:w="0" w:type="dxa"/>
          <w:left w:w="0" w:type="dxa"/>
          <w:bottom w:w="0" w:type="dxa"/>
          <w:right w:w="0" w:type="dxa"/>
        </w:tblCellMar>
      </w:tblPr>
      <w:tblGrid>
        <w:gridCol w:w="556"/>
        <w:gridCol w:w="346"/>
        <w:gridCol w:w="296"/>
        <w:gridCol w:w="949"/>
        <w:gridCol w:w="346"/>
        <w:gridCol w:w="1216"/>
        <w:gridCol w:w="346"/>
        <w:gridCol w:w="1426"/>
        <w:gridCol w:w="346"/>
        <w:gridCol w:w="766"/>
        <w:gridCol w:w="109"/>
        <w:gridCol w:w="114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53060" cy="175260"/>
                      <wp:effectExtent l="0" t="0" r="0" b="0"/>
                      <wp:wrapNone/>
                      <wp:docPr id="212" name="Frame21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7960" cy="175260"/>
                      <wp:effectExtent l="0" t="0" r="0" b="0"/>
                      <wp:wrapNone/>
                      <wp:docPr id="214" name="Frame21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02615" cy="175260"/>
                      <wp:effectExtent l="0" t="0" r="0" b="0"/>
                      <wp:wrapNone/>
                      <wp:docPr id="215" name="Frame215"/>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772160" cy="175260"/>
                      <wp:effectExtent l="0" t="0" r="0" b="0"/>
                      <wp:wrapNone/>
                      <wp:docPr id="217" name="Frame21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905510" cy="175260"/>
                      <wp:effectExtent l="0" t="0" r="0" b="0"/>
                      <wp:wrapNone/>
                      <wp:docPr id="219" name="Frame21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86410" cy="175260"/>
                      <wp:effectExtent l="0" t="0" r="0" b="0"/>
                      <wp:wrapNone/>
                      <wp:docPr id="221" name="Frame22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24535" cy="175260"/>
                      <wp:effectExtent l="0" t="0" r="0" b="0"/>
                      <wp:wrapNone/>
                      <wp:docPr id="223" name="Frame2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96" w:type="dxa"/>
            <w:tcBorders/>
            <w:vAlign w:val="center"/>
          </w:tcPr>
          <w:p>
            <w:pPr>
              <w:pStyle w:val="TableContents"/>
              <w:bidi w:val="0"/>
              <w:spacing w:lineRule="auto" w:line="285" w:before="0" w:after="0"/>
              <w:ind w:left="0" w:right="0" w:hanging="0"/>
              <w:jc w:val="center"/>
              <w:rPr/>
            </w:pPr>
            <w:r>
              <w:rPr/>
              <w:t>​</w:t>
            </w:r>
          </w:p>
        </w:tc>
        <w:tc>
          <w:tcPr>
            <w:tcW w:w="94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2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16" w:type="dxa"/>
            <w:gridSpan w:val="3"/>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Shares Exercisable at</w:t>
            </w:r>
          </w:p>
        </w:tc>
      </w:tr>
      <w:tr>
        <w:trPr/>
        <w:tc>
          <w:tcPr>
            <w:tcW w:w="5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245" w:type="dxa"/>
            <w:gridSpan w:val="2"/>
            <w:tcBorders/>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lineRule="auto" w:line="285" w:before="1" w:after="1"/>
              <w:ind w:left="0" w:right="0" w:hanging="0"/>
              <w:jc w:val="center"/>
              <w:rPr/>
            </w:pPr>
            <w:r>
              <w:rPr/>
              <w:t>  ​ ​ ​</w:t>
            </w:r>
          </w:p>
        </w:tc>
        <w:tc>
          <w:tcPr>
            <w:tcW w:w="1216" w:type="dxa"/>
            <w:tcBorders/>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46" w:type="dxa"/>
            <w:tcBorders/>
            <w:vAlign w:val="center"/>
          </w:tcPr>
          <w:p>
            <w:pPr>
              <w:pStyle w:val="TableContents"/>
              <w:bidi w:val="0"/>
              <w:spacing w:lineRule="auto" w:line="285" w:before="1" w:after="1"/>
              <w:ind w:left="0" w:right="0" w:hanging="0"/>
              <w:jc w:val="center"/>
              <w:rPr/>
            </w:pPr>
            <w:r>
              <w:rPr/>
              <w:t>  ​ ​ ​</w:t>
            </w:r>
          </w:p>
        </w:tc>
        <w:tc>
          <w:tcPr>
            <w:tcW w:w="1426" w:type="dxa"/>
            <w:tcBorders/>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46" w:type="dxa"/>
            <w:tcBorders/>
            <w:vAlign w:val="center"/>
          </w:tcPr>
          <w:p>
            <w:pPr>
              <w:pStyle w:val="TableContents"/>
              <w:bidi w:val="0"/>
              <w:spacing w:lineRule="auto" w:line="285" w:before="1" w:after="1"/>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56"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b/>
                <w:sz w:val="16"/>
              </w:rPr>
            </w:pPr>
            <w:r>
              <w:rPr>
                <w:rFonts w:ascii="Times New Roman;Times;serif" w:hAnsi="Times New Roman;Times;serif"/>
                <w:b/>
                <w:sz w:val="16"/>
              </w:rPr>
              <w:t>Issued</w:t>
            </w:r>
          </w:p>
        </w:tc>
        <w:tc>
          <w:tcPr>
            <w:tcW w:w="346" w:type="dxa"/>
            <w:tcBorders/>
            <w:vAlign w:val="center"/>
          </w:tcPr>
          <w:p>
            <w:pPr>
              <w:pStyle w:val="TableContents"/>
              <w:bidi w:val="0"/>
              <w:spacing w:lineRule="auto" w:line="285" w:before="1" w:after="1"/>
              <w:ind w:left="0" w:right="0" w:hanging="0"/>
              <w:jc w:val="center"/>
              <w:rPr/>
            </w:pPr>
            <w:r>
              <w:rPr/>
              <w:t>  ​ ​ ​</w:t>
            </w:r>
          </w:p>
        </w:tc>
        <w:tc>
          <w:tcPr>
            <w:tcW w:w="1245"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46" w:type="dxa"/>
            <w:tcBorders/>
            <w:vAlign w:val="center"/>
          </w:tcPr>
          <w:p>
            <w:pPr>
              <w:pStyle w:val="TableContents"/>
              <w:bidi w:val="0"/>
              <w:spacing w:lineRule="auto" w:line="285" w:before="0" w:after="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From</w:t>
            </w:r>
          </w:p>
        </w:tc>
        <w:tc>
          <w:tcPr>
            <w:tcW w:w="346" w:type="dxa"/>
            <w:tcBorders/>
            <w:vAlign w:val="center"/>
          </w:tcPr>
          <w:p>
            <w:pPr>
              <w:pStyle w:val="TableContents"/>
              <w:bidi w:val="0"/>
              <w:spacing w:lineRule="auto" w:line="285"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2016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413.50</w:t>
            </w:r>
          </w:p>
        </w:tc>
        <w:tc>
          <w:tcPr>
            <w:tcW w:w="346" w:type="dxa"/>
            <w:tcBorders/>
            <w:shd w:fill="CCEEFF" w:val="clear"/>
            <w:vAlign w:val="center"/>
          </w:tcPr>
          <w:p>
            <w:pPr>
              <w:pStyle w:val="TableContents"/>
              <w:bidi w:val="0"/>
              <w:spacing w:lineRule="auto" w:line="285" w:before="1" w:after="1"/>
              <w:ind w:left="0" w:right="0" w:hanging="0"/>
              <w:jc w:val="left"/>
              <w:rPr/>
            </w:pPr>
            <w:r>
              <w:rPr/>
              <w:t> </w:t>
            </w:r>
          </w:p>
        </w:tc>
        <w:tc>
          <w:tcPr>
            <w:tcW w:w="121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October 2026</w:t>
            </w:r>
          </w:p>
        </w:tc>
        <w:tc>
          <w:tcPr>
            <w:tcW w:w="346" w:type="dxa"/>
            <w:tcBorders/>
            <w:shd w:fill="CCEEFF" w:val="clear"/>
            <w:vAlign w:val="center"/>
          </w:tcPr>
          <w:p>
            <w:pPr>
              <w:pStyle w:val="TableContents"/>
              <w:bidi w:val="0"/>
              <w:spacing w:lineRule="auto" w:line="285" w:before="1" w:after="1"/>
              <w:ind w:left="0" w:right="0" w:hanging="0"/>
              <w:jc w:val="left"/>
              <w:rPr/>
            </w:pPr>
            <w:r>
              <w:rPr/>
              <w:t> </w:t>
            </w:r>
          </w:p>
        </w:tc>
        <w:tc>
          <w:tcPr>
            <w:tcW w:w="142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September 2017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lineRule="auto" w:line="285"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lineRule="auto" w:line="285" w:before="1" w:after="1"/>
              <w:ind w:left="0" w:right="60" w:hanging="0"/>
              <w:jc w:val="right"/>
              <w:rPr>
                <w:rFonts w:ascii="Times New Roman;Times;serif" w:hAnsi="Times New Roman;Times;serif"/>
                <w:sz w:val="20"/>
              </w:rPr>
            </w:pPr>
            <w:r>
              <w:rPr>
                <w:rFonts w:ascii="Times New Roman;Times;serif" w:hAnsi="Times New Roman;Times;serif"/>
                <w:sz w:val="20"/>
              </w:rPr>
              <w:t>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11. REGISTERED OFFERINGS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January 2026 ATM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January 8, 2026, the Company entered into an ATM Agreement. See Note 1 – “Nature of Business and Basis of Presentation” for additional information.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December 2025 Registered Direct Offering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December 4, 2025, the Company entered into a securities purchase agreement (the “December 2025 Purchase Agreement”) with a certain institutional investor (the “RD Investor”), pursuant to which the Company agreed to issue and sell in a registered direct offering (the “RD Offering”) (i) 900,000 shares of the Company’s Common Stock and (ii) pre-funded warrants (the “Pre-Funded Warrants”) to purchase up to an aggregate of 9,100,000 shares of Common Stock (the “Pre-Funded Warrant Shares”), at a purchase price of $1.00 per Pre-Funded Warrant Share (less $0.0001 per Pre-Funded Warrant). The gross proceeds to the Company from the RD Offering was approximately $10.0 million before deducting placement agent fees and other offering expenses payable by the Company.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shares of Common Stock, Pre-Funded Warrants and Pre-Funded Warrant Shares were offered by the Company pursuant to an effective shelf registration statement on Form S-3 (File No. 333-270263) which was filed with the Securities and Exchange Commission (the “SEC”) on March 3, 2023, as amended, and declared effective by the SEC on May 11, 2023, and related base prospectus and a prospectus supplement dated December 4, 2025, thereunder.</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Pre-Funded Warrants have an initial exercise price per share of $0.0001, subject to certain adjustments. The Pre-Funded Warrants may be exercised at any time until exercised in full, except that a holder (together with its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affiliates) will not be entitled to exercise any portion of any Pre-Funded Warrant, which, upon giving effect to such exercise would cause the aggregate number of shares of the Company’s Common Stock beneficially owned by the holder (together with its affiliates) to exceed 4.99% (or, upon election of the holder, 9.99%) of the number of shares of Common Stock outstanding immediately prior to or after giving effect to the exercise, subject to such holder’s rights under the Pre-Funded Warrants to increase or decrease such percentage to another percentage not in excess of 9.99% of the number of shares of Common Stock outstanding immediately after giving effect to the exercise, as such percentage ownership is determined in accordance with the terms of the Pre-Funded warrants, provided that any increase shall only be effective upon at least 61 days’ prior notice from such holder to the Company. The Offering closed on December 5,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Purchase Agreement, the Company has agreed to certain restrictions on the issuance and sale of its Common Stock or Common Stock Equivalents (as defined in the December 2025 Purchase Agreement) until 30 days following the closing date, and not to issue any Common Stock or Common Stock Equivalents in a Variable Rate Transaction (as defined in the December 2025 Purchase Agreement) for one year from the closing date, subject to an exception as contained therein.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May 2026 Shelf Registration Statement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May 7, 2026, the Company filed a registration statement on Form S-3 (File No. 333-295667) with the SEC to register the offer and sale from time to time of up to $350,000,000 shares of common stock, preferred stock, debt securities, subscription rights, and warrants and/or units (the “Shelf Registration Statement”). The Shelf Registration Statement was amended on June 12, 2026, and declared effected by the SEC on June 25,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12. STOCK</w:t>
        <w:noBreakHyphen/>
        <w:t>BASED COMPENSATION</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June 22, 2023, the Company’s stockholders approved the Company’s Amended and Restated 2017 Equity Incentive Plan (the “2017 Plan”), which amended and restated the Company’s 2017 Equity Incentive Plan, as amended (the “2017 Plan”), to (i) increase the number of shares of Common Stock authorized for issuance thereunder by 25,000 shares; (ii) limit the number of incentive stock options that can be granted under the plan to 154,775 shares of Common Stock; (iii) add an annual limit on non-employee director compensation, including cash and the value of equity awards, of $750,000 for incumbent directors and $1,000,000 in a director’s first year of service; and (iv) extend the term of the plan (including the duration of the evergreen) to 10 years from June 22, 2023, the date that stockholders approved the plan. In addition, the 2017 Plan provides for an annual increase to be added on the first day of each fiscal year, beginning with the fiscal year ending December 31, 2024 and continuing for each fiscal year until, and including, the fiscal year ending December 31, 2033, equal to the lower of (i) 4% of the sum of (I) the number of outstanding shares of Common Stock on such date and (II) the number of shares of Common Stock issuable upon conversion of any outstanding shares of convertible preferred stock of the Company on such date (without giving effect to any restrictions or limitations on conversion) and (ii) an amount determined by the Company’s board of directors. </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As of June 30, 2026, there were 35,687 shares of common stock available for grant under the 2017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No options or </w:t>
      </w:r>
      <w:r>
        <w:rPr>
          <w:rFonts w:ascii="Times New Roman;Times;serif" w:hAnsi="Times New Roman;Times;serif"/>
          <w:b w:val="false"/>
          <w:i w:val="false"/>
          <w:caps w:val="false"/>
          <w:smallCaps w:val="false"/>
          <w:sz w:val="20"/>
        </w:rPr>
        <w:t>RSU</w:t>
      </w:r>
      <w:r>
        <w:rPr>
          <w:rFonts w:ascii="Times New Roman;Times;serif" w:hAnsi="Times New Roman;Times;serif"/>
          <w:sz w:val="20"/>
        </w:rPr>
        <w:t xml:space="preserve">’s were granted during the six months ended June 30, 2026. During the six months ended June 30, 2025, the Company granted options for the purchase of 509,525 shares of common stock and 106,725 RSUs.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and 2025</w:t>
      </w:r>
      <w:r>
        <w:rPr>
          <w:rFonts w:ascii="Times New Roman;Times;serif" w:hAnsi="Times New Roman;Times;serif"/>
          <w:sz w:val="20"/>
          <w:shd w:fill="FFFFFF" w:val="clear"/>
        </w:rPr>
        <w:t>, employees of the Company purchased an aggregate of 0 and 2,302 shares under the Employee Stock Purchase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no RSUs were outstanding.</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20"/>
        <w:ind w:left="0" w:right="0" w:firstLine="720"/>
        <w:jc w:val="left"/>
        <w:rPr>
          <w:rFonts w:ascii="Times New Roman;Times;serif" w:hAnsi="Times New Roman;Times;serif"/>
          <w:sz w:val="20"/>
        </w:rPr>
      </w:pPr>
      <w:bookmarkStart w:id="1693" w:name="Tc_6cue5112ok-p4c9JP7dGxA_6_11"/>
      <w:bookmarkStart w:id="1694" w:name="Tc_wQIrL_5clEKzaS0P9UMUZQ_6_8"/>
      <w:bookmarkStart w:id="1695" w:name="Tc_tNiQnnkaKUKmZP0Koj1HUQ_6_5"/>
      <w:bookmarkStart w:id="1696" w:name="Tc_BGiDRY8m_UuAYGykOKhs-Q_6_2"/>
      <w:bookmarkStart w:id="1697" w:name="Tc_g8lyKj1B4kutaxc0Wqb0TQ_6_0"/>
      <w:bookmarkStart w:id="1698" w:name="Tc_6ZD96_FhJU-jm6EtEI72nQ_5_0"/>
      <w:bookmarkStart w:id="1699" w:name="Tc_S0zD85eH-UaoQDsk5wTVuw_4_11"/>
      <w:bookmarkStart w:id="1700" w:name="Tc_WjcPsR73Z0aSolBH893E8A_4_9"/>
      <w:bookmarkStart w:id="1701" w:name="Tc_BzATHb241EC4EmzauYluaA_4_8"/>
      <w:bookmarkStart w:id="1702" w:name="Tc_8Brg_AD5MkGgYX4ZzPk2Rw_4_5"/>
      <w:bookmarkStart w:id="1703" w:name="Tc_0zTbvAKmDEK7A4IOlL4nLg_4_3"/>
      <w:bookmarkStart w:id="1704" w:name="Tc_IgWRpZGhF0KzErVnwSnlXA_4_2"/>
      <w:bookmarkStart w:id="1705" w:name="Tc_sdOt90rFzEu_qQ-fmQegEQ_4_0"/>
      <w:bookmarkStart w:id="1706" w:name="Tc_e9v-pcFibUK_bmJIUJ2jHw_3_11"/>
      <w:bookmarkStart w:id="1707" w:name="Tc_uqf6E0FSfkunj7Xc2TrUEg_3_8"/>
      <w:bookmarkStart w:id="1708" w:name="Tc_HupPArwL7UCuKmVFO4lwXA_3_5"/>
      <w:bookmarkStart w:id="1709" w:name="Tc_GYj6OEVK1kSoFbmTheMbQg_3_2"/>
      <w:bookmarkStart w:id="1710" w:name="Tc_R5mE63hPAkuFaBnid0Q6vQ_2_8"/>
      <w:bookmarkStart w:id="1711" w:name="Tc_FOss7aiHDECks_2OJbDbrQ_2_2"/>
      <w:bookmarkStart w:id="1712" w:name="Tc_TF8UoHFBjEezeTBygmihzw_1_8"/>
      <w:bookmarkStart w:id="1713" w:name="Tc_uVLFFVji3EuFmZ08HPZ5Yw_1_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r>
        <w:rPr>
          <w:rFonts w:ascii="Times New Roman;Times;serif" w:hAnsi="Times New Roman;Times;serif"/>
          <w:sz w:val="20"/>
        </w:rPr>
        <w:t>Stock-based compensation expense was classified in the condensed consolidated statements of operations and comprehensive loss as follows for the three and six months ended June 30, 2026 and 2025:</w:t>
      </w:r>
    </w:p>
    <w:p>
      <w:pPr>
        <w:pStyle w:val="TextBody"/>
        <w:bidi w:val="0"/>
        <w:spacing w:lineRule="auto" w:line="285" w:before="0" w:after="0"/>
        <w:ind w:left="0" w:right="0" w:hanging="0"/>
        <w:jc w:val="left"/>
        <w:rPr/>
      </w:pPr>
      <w:r>
        <w:rPr/>
        <w:t>​</w:t>
      </w:r>
    </w:p>
    <w:tbl>
      <w:tblPr>
        <w:tblW w:w="6917" w:type="dxa"/>
        <w:jc w:val="left"/>
        <w:tblInd w:w="0" w:type="dxa"/>
        <w:tblLayout w:type="fixed"/>
        <w:tblCellMar>
          <w:top w:w="0" w:type="dxa"/>
          <w:left w:w="0" w:type="dxa"/>
          <w:bottom w:w="0" w:type="dxa"/>
          <w:right w:w="0" w:type="dxa"/>
        </w:tblCellMar>
      </w:tblPr>
      <w:tblGrid>
        <w:gridCol w:w="2311"/>
        <w:gridCol w:w="346"/>
        <w:gridCol w:w="211"/>
        <w:gridCol w:w="541"/>
        <w:gridCol w:w="346"/>
        <w:gridCol w:w="211"/>
        <w:gridCol w:w="571"/>
        <w:gridCol w:w="346"/>
        <w:gridCol w:w="211"/>
        <w:gridCol w:w="541"/>
        <w:gridCol w:w="346"/>
        <w:gridCol w:w="211"/>
        <w:gridCol w:w="571"/>
        <w:gridCol w:w="154"/>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67485" cy="175260"/>
                      <wp:effectExtent l="0" t="0" r="0" b="0"/>
                      <wp:wrapNone/>
                      <wp:docPr id="224" name="Frame22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43535" cy="175260"/>
                      <wp:effectExtent l="0" t="0" r="0" b="0"/>
                      <wp:wrapNone/>
                      <wp:docPr id="227" name="Frame22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62585" cy="175260"/>
                      <wp:effectExtent l="0" t="0" r="0" b="0"/>
                      <wp:wrapNone/>
                      <wp:docPr id="230" name="Frame2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43535" cy="175260"/>
                      <wp:effectExtent l="0" t="0" r="0" b="0"/>
                      <wp:wrapNone/>
                      <wp:docPr id="233" name="Frame23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62585" cy="175260"/>
                      <wp:effectExtent l="0" t="0" r="0" b="0"/>
                      <wp:wrapNone/>
                      <wp:docPr id="236" name="Frame2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97790" cy="175260"/>
                      <wp:effectExtent l="0" t="0" r="0" b="0"/>
                      <wp:wrapNone/>
                      <wp:docPr id="237" name="Frame23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8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center"/>
              <w:rPr/>
            </w:pPr>
            <w:r>
              <w:rPr/>
              <w:t>​</w:t>
            </w:r>
          </w:p>
        </w:tc>
        <w:tc>
          <w:tcPr>
            <w:tcW w:w="188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8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center"/>
              <w:rPr/>
            </w:pPr>
            <w:r>
              <w:rPr/>
              <w:t>​</w:t>
            </w:r>
          </w:p>
        </w:tc>
        <w:tc>
          <w:tcPr>
            <w:tcW w:w="188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3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3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23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1,526</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3,096</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3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2,240</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4,550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1714" w:name="Tc_0K4EuUS_qkCggsw40IRFMg_7_2"/>
      <w:bookmarkStart w:id="1715" w:name="Tc_s34E-PSl8E6cfzcNn6GwuQ_7_0"/>
      <w:bookmarkStart w:id="1716" w:name="Tc_hQono-7lmkCNTEbjrnh3vA_6_0"/>
      <w:bookmarkStart w:id="1717" w:name="Tc_WxiUNwZdEkOUJP10oNvZ4w_5_2"/>
      <w:bookmarkStart w:id="1718" w:name="Tc_BPszeTbDAEWRDsaHrgfgZQ_5_0"/>
      <w:bookmarkStart w:id="1719" w:name="Tc_0uwPMwFJJ0eGZUHnk8vHpA_4_0"/>
      <w:bookmarkStart w:id="1720" w:name="Tc_oapZwxO5QkWWIDdnurPvKA_3_10"/>
      <w:bookmarkStart w:id="1721" w:name="Tc_EPvqeIHUGUS0TX0cbw_wZA_3_7"/>
      <w:bookmarkStart w:id="1722" w:name="Tc_Gbdy0GR7a0G1a_Sy2Ppz1Q_3_4"/>
      <w:bookmarkStart w:id="1723" w:name="Tc_9AtPO-M7Pk2mFJx-Qsi9bA_3_1"/>
      <w:bookmarkStart w:id="1724" w:name="Tc_vxxI6DKE_kOLLCFWB2M0KQ_2_7"/>
      <w:bookmarkStart w:id="1725" w:name="Tc_W_1ohuAJ8kesdNkIDlhMEw_2_1"/>
      <w:bookmarkStart w:id="1726" w:name="Tc_t6vxnCtuDkWaSvNeTfjNiw_1_7"/>
      <w:bookmarkStart w:id="1727" w:name="Tc_0wEgoQrz6kGx_a6tq_qslQ_1_1"/>
      <w:bookmarkStart w:id="1728" w:name="Tc_Z3QhAwOgikm9Hv72jv2-tg_9_10"/>
      <w:bookmarkStart w:id="1729" w:name="Tc_Ha42_I6EcE2DTSjZQGv20g_9_7"/>
      <w:bookmarkStart w:id="1730" w:name="Tc_tJAyU7080U2cVcxvLe4IbA_9_4"/>
      <w:bookmarkStart w:id="1731" w:name="Tc_4xPsm5wM6kWKXdruR-GjpA_9_1"/>
      <w:bookmarkStart w:id="1732" w:name="Tc_IlhA1aFZxkKH4al0Qmh5hQ_9_0"/>
      <w:bookmarkStart w:id="1733" w:name="Tc_ZenMw9UOUke3FI10rnM5tg_7_0"/>
      <w:bookmarkStart w:id="1734" w:name="Tc_BphJVNb-dEawMqTOX7Lb2A_6_0"/>
      <w:bookmarkStart w:id="1735" w:name="Tc_saL6E_K2p0WbcrscbfFn3A_5_10"/>
      <w:bookmarkStart w:id="1736" w:name="Tc_rBgrCP6IX0CNY6Rp3OSPAg_5_7"/>
      <w:bookmarkStart w:id="1737" w:name="Tc_st5oEcMZs0mE3CC-r7rgow_5_4"/>
      <w:bookmarkStart w:id="1738" w:name="Tc_dUkylg5B_Uy5RT2Z6YMQYw_5_1"/>
      <w:bookmarkStart w:id="1739" w:name="Tc_CxEBBAls8EOP7tTPlwepng_5_0"/>
      <w:bookmarkStart w:id="1740" w:name="Tc_EK-_jnT-8kaTMQeHKSlW8A_4_0"/>
      <w:bookmarkStart w:id="1741" w:name="Tc_nzvAILtnrE2qSR4JzL16Pw_3_10"/>
      <w:bookmarkStart w:id="1742" w:name="Tc_oRXKu2Rnc0-sS38RsFXqTA_3_7"/>
      <w:bookmarkStart w:id="1743" w:name="Tc_rSCi8OlcrkaeKi5_22maqw_3_4"/>
      <w:bookmarkStart w:id="1744" w:name="Tc_x7eBiyssnEGP05jfzrFJDA_3_1"/>
      <w:bookmarkStart w:id="1745" w:name="Tc_X8yIwmySZEiCVe6kB1W3_A_2_7"/>
      <w:bookmarkStart w:id="1746" w:name="Tc_xGgODFYUB0a8XA6z8PR-pA_2_1"/>
      <w:bookmarkStart w:id="1747" w:name="Tc_4nfNn-4bUUWn6WEg9tNe2w_1_7"/>
      <w:bookmarkStart w:id="1748" w:name="Tc_47e4EhYsSUamBDn30iJ2rg_1_1"/>
      <w:bookmarkStart w:id="1749" w:name="_8e6eb35c_26b3_4bbc_bb12_461d804d49ab"/>
      <w:bookmarkStart w:id="1750" w:name="_396b12af_7cc7_4b05_af3b_2be43b376b5b"/>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r>
        <w:rPr>
          <w:rFonts w:ascii="Times New Roman;Times;serif" w:hAnsi="Times New Roman;Times;serif"/>
          <w:b/>
          <w:sz w:val="20"/>
        </w:rPr>
        <w:t>13. LOSS PER SHARE</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firstLine="720"/>
        <w:jc w:val="left"/>
        <w:rPr>
          <w:rFonts w:ascii="Times New Roman;Times;serif" w:hAnsi="Times New Roman;Times;serif"/>
          <w:sz w:val="20"/>
        </w:rPr>
      </w:pPr>
      <w:r>
        <w:rPr>
          <w:rFonts w:ascii="Times New Roman;Times;serif" w:hAnsi="Times New Roman;Times;serif"/>
          <w:sz w:val="20"/>
        </w:rPr>
        <w:t>Basic and diluted net loss per share attributable to common stockholders was calculated as follows for the three and six months ended June 30, 2026 and 2025:</w:t>
      </w:r>
    </w:p>
    <w:p>
      <w:pPr>
        <w:pStyle w:val="TextBody"/>
        <w:bidi w:val="0"/>
        <w:spacing w:lineRule="auto" w:line="285" w:before="0" w:after="0"/>
        <w:ind w:left="0" w:right="0" w:hanging="0"/>
        <w:jc w:val="left"/>
        <w:rPr/>
      </w:pPr>
      <w:r>
        <w:rPr/>
        <w:t>​</w:t>
      </w:r>
    </w:p>
    <w:tbl>
      <w:tblPr>
        <w:tblW w:w="10137" w:type="dxa"/>
        <w:jc w:val="left"/>
        <w:tblInd w:w="0" w:type="dxa"/>
        <w:tblLayout w:type="fixed"/>
        <w:tblCellMar>
          <w:top w:w="0" w:type="dxa"/>
          <w:left w:w="0" w:type="dxa"/>
          <w:bottom w:w="0" w:type="dxa"/>
          <w:right w:w="0" w:type="dxa"/>
        </w:tblCellMar>
      </w:tblPr>
      <w:tblGrid>
        <w:gridCol w:w="5281"/>
        <w:gridCol w:w="196"/>
        <w:gridCol w:w="631"/>
        <w:gridCol w:w="346"/>
        <w:gridCol w:w="196"/>
        <w:gridCol w:w="721"/>
        <w:gridCol w:w="346"/>
        <w:gridCol w:w="196"/>
        <w:gridCol w:w="916"/>
        <w:gridCol w:w="346"/>
        <w:gridCol w:w="196"/>
        <w:gridCol w:w="766"/>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353435" cy="175260"/>
                      <wp:effectExtent l="0" t="0" r="0" b="0"/>
                      <wp:wrapNone/>
                      <wp:docPr id="238" name="Frame238"/>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5281" w:type="dxa"/>
            <w:tcBorders/>
            <w:vAlign w:val="center"/>
          </w:tcPr>
          <w:p>
            <w:pPr>
              <w:pStyle w:val="TableContents"/>
              <w:bidi w:val="0"/>
              <w:spacing w:lineRule="auto" w:line="285" w:before="0" w:after="0"/>
              <w:ind w:left="0" w:right="0" w:hanging="0"/>
              <w:jc w:val="left"/>
              <w:rPr/>
            </w:pPr>
            <w:r>
              <w:rPr/>
              <w:t>​</w:t>
            </w:r>
          </w:p>
        </w:tc>
        <w:tc>
          <w:tcPr>
            <w:tcW w:w="209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center"/>
              <w:rPr/>
            </w:pPr>
            <w:r>
              <w:rPr/>
              <w:t>​</w:t>
            </w:r>
          </w:p>
        </w:tc>
        <w:tc>
          <w:tcPr>
            <w:tcW w:w="242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281" w:type="dxa"/>
            <w:tcBorders/>
            <w:vAlign w:val="center"/>
          </w:tcPr>
          <w:p>
            <w:pPr>
              <w:pStyle w:val="TableContents"/>
              <w:bidi w:val="0"/>
              <w:spacing w:lineRule="auto" w:line="285" w:before="0" w:after="0"/>
              <w:ind w:left="0" w:right="0" w:hanging="0"/>
              <w:jc w:val="left"/>
              <w:rPr/>
            </w:pPr>
            <w:r>
              <w:rPr/>
              <w:t>​</w:t>
            </w:r>
          </w:p>
        </w:tc>
        <w:tc>
          <w:tcPr>
            <w:tcW w:w="20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center"/>
              <w:rPr/>
            </w:pPr>
            <w:r>
              <w:rPr/>
              <w:t>​</w:t>
            </w:r>
          </w:p>
        </w:tc>
        <w:tc>
          <w:tcPr>
            <w:tcW w:w="24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281"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Numerator:</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63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72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916"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pPr>
            <w:r>
              <w:rPr/>
              <w:t>​</w:t>
            </w:r>
          </w:p>
        </w:tc>
        <w:tc>
          <w:tcPr>
            <w:tcW w:w="766" w:type="dxa"/>
            <w:tcBorders/>
            <w:shd w:fill="CCEEFF" w:val="clear"/>
            <w:vAlign w:val="center"/>
          </w:tcPr>
          <w:p>
            <w:pPr>
              <w:pStyle w:val="TableContents"/>
              <w:bidi w:val="0"/>
              <w:spacing w:lineRule="auto" w:line="285" w:before="0" w:after="0"/>
              <w:ind w:left="0" w:right="0" w:hanging="0"/>
              <w:jc w:val="center"/>
              <w:rPr/>
            </w:pPr>
            <w:r>
              <w:rPr/>
              <w:t>​</w:t>
            </w:r>
          </w:p>
        </w:tc>
      </w:tr>
      <w:tr>
        <w:trPr/>
        <w:tc>
          <w:tcPr>
            <w:tcW w:w="528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 attributable to common stockholders</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(1,581)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(11,155)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(3,202)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(20,102)</w:t>
            </w:r>
          </w:p>
        </w:tc>
      </w:tr>
      <w:tr>
        <w:trPr/>
        <w:tc>
          <w:tcPr>
            <w:tcW w:w="5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Denominator:</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528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Weighted-average common shares outstanding, basic and diluted (1)</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74,159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130,262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15,287,538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128,599</w:t>
            </w:r>
          </w:p>
        </w:tc>
      </w:tr>
      <w:tr>
        <w:trPr/>
        <w:tc>
          <w:tcPr>
            <w:tcW w:w="5281"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r>
      <w:tr>
        <w:trPr/>
        <w:tc>
          <w:tcPr>
            <w:tcW w:w="528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 per share attributable to common stockholders, basic and diluted</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(21.32)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(85.64)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(0.21)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(156.32)</w:t>
            </w:r>
          </w:p>
        </w:tc>
      </w:tr>
    </w:tbl>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7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the weighted-average common shares outstanding, basic and diluted are vested but deferred shares for which all contingencies have been satisfied. Number of shares, and to per share information have been retroactively adjusted to reflect the impact of the Reverse Stock Split.</w:t>
            </w:r>
          </w:p>
        </w:tc>
      </w:tr>
    </w:tbl>
    <w:p>
      <w:pPr>
        <w:pStyle w:val="TextBody"/>
        <w:bidi w:val="0"/>
        <w:spacing w:lineRule="auto" w:line="285" w:before="240" w:after="240"/>
        <w:ind w:left="0" w:right="0" w:firstLine="720"/>
        <w:jc w:val="left"/>
        <w:rPr>
          <w:rFonts w:ascii="Times New Roman;Times;serif" w:hAnsi="Times New Roman;Times;serif"/>
          <w:sz w:val="20"/>
        </w:rPr>
      </w:pPr>
      <w:r>
        <w:rPr>
          <w:rFonts w:ascii="Times New Roman;Times;serif" w:hAnsi="Times New Roman;Times;serif"/>
          <w:sz w:val="20"/>
        </w:rPr>
        <w:t>The following potential common stock equivalents were excluded from the calculation of diluted net loss per share attributable to common stockholders for the periods indicated because including them would have had an anti-dilutive effect:</w:t>
      </w:r>
    </w:p>
    <w:p>
      <w:pPr>
        <w:pStyle w:val="TextBody"/>
        <w:bidi w:val="0"/>
        <w:spacing w:lineRule="auto" w:line="285" w:before="0" w:after="0"/>
        <w:ind w:left="0" w:right="0" w:hanging="0"/>
        <w:jc w:val="left"/>
        <w:rPr/>
      </w:pPr>
      <w:r>
        <w:rPr/>
        <w:t>​</w:t>
      </w:r>
    </w:p>
    <w:tbl>
      <w:tblPr>
        <w:tblW w:w="7937" w:type="dxa"/>
        <w:jc w:val="left"/>
        <w:tblInd w:w="0" w:type="dxa"/>
        <w:tblLayout w:type="fixed"/>
        <w:tblCellMar>
          <w:top w:w="0" w:type="dxa"/>
          <w:left w:w="0" w:type="dxa"/>
          <w:bottom w:w="0" w:type="dxa"/>
          <w:right w:w="0" w:type="dxa"/>
        </w:tblCellMar>
      </w:tblPr>
      <w:tblGrid>
        <w:gridCol w:w="4366"/>
        <w:gridCol w:w="117"/>
        <w:gridCol w:w="551"/>
        <w:gridCol w:w="117"/>
        <w:gridCol w:w="117"/>
        <w:gridCol w:w="746"/>
        <w:gridCol w:w="109"/>
        <w:gridCol w:w="109"/>
        <w:gridCol w:w="691"/>
        <w:gridCol w:w="109"/>
        <w:gridCol w:w="109"/>
        <w:gridCol w:w="796"/>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772410" cy="175260"/>
                      <wp:effectExtent l="0" t="0" r="0" b="0"/>
                      <wp:wrapNone/>
                      <wp:docPr id="242" name="Frame242"/>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lineRule="auto" w:line="285" w:before="0" w:after="0"/>
              <w:ind w:left="0" w:right="0" w:hanging="0"/>
              <w:jc w:val="left"/>
              <w:rPr/>
            </w:pPr>
            <w:r>
              <w:rPr/>
              <w:t>​</w: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49885" cy="175260"/>
                      <wp:effectExtent l="0" t="0" r="0" b="0"/>
                      <wp:wrapNone/>
                      <wp:docPr id="243" name="Frame243"/>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4295" cy="175260"/>
                      <wp:effectExtent l="0" t="0" r="0" b="0"/>
                      <wp:wrapNone/>
                      <wp:docPr id="244" name="Frame244"/>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74295" cy="175260"/>
                      <wp:effectExtent l="0" t="0" r="0" b="0"/>
                      <wp:wrapNone/>
                      <wp:docPr id="245" name="Frame245"/>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73710" cy="175260"/>
                      <wp:effectExtent l="0" t="0" r="0" b="0"/>
                      <wp:wrapNone/>
                      <wp:docPr id="246" name="Frame246"/>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38785" cy="175260"/>
                      <wp:effectExtent l="0" t="0" r="0" b="0"/>
                      <wp:wrapNone/>
                      <wp:docPr id="249" name="Frame2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05460" cy="175260"/>
                      <wp:effectExtent l="0" t="0" r="0" b="0"/>
                      <wp:wrapNone/>
                      <wp:docPr id="252" name="Frame2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lineRule="auto" w:line="285" w:before="0" w:after="0"/>
              <w:ind w:left="0" w:right="0" w:hanging="0"/>
              <w:jc w:val="left"/>
              <w:rPr/>
            </w:pPr>
            <w:r>
              <w:rPr/>
              <w:t>​</w:t>
            </w:r>
          </w:p>
        </w:tc>
        <w:tc>
          <w:tcPr>
            <w:tcW w:w="164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285" w:before="0" w:after="0"/>
              <w:ind w:left="0" w:right="0" w:hanging="0"/>
              <w:jc w:val="center"/>
              <w:rPr/>
            </w:pPr>
            <w:r>
              <w:rPr/>
              <w:t>​</w:t>
            </w:r>
          </w:p>
        </w:tc>
        <w:tc>
          <w:tcPr>
            <w:tcW w:w="1814"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366" w:type="dxa"/>
            <w:tcBorders/>
            <w:vAlign w:val="center"/>
          </w:tcPr>
          <w:p>
            <w:pPr>
              <w:pStyle w:val="TableContents"/>
              <w:bidi w:val="0"/>
              <w:spacing w:lineRule="auto" w:line="285" w:before="0" w:after="0"/>
              <w:ind w:left="0" w:right="0" w:hanging="0"/>
              <w:jc w:val="left"/>
              <w:rPr/>
            </w:pPr>
            <w:r>
              <w:rPr/>
              <w:t>​</w:t>
            </w:r>
          </w:p>
        </w:tc>
        <w:tc>
          <w:tcPr>
            <w:tcW w:w="164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center"/>
              <w:rPr/>
            </w:pPr>
            <w:r>
              <w:rPr/>
              <w:t>​</w:t>
            </w:r>
          </w:p>
        </w:tc>
        <w:tc>
          <w:tcPr>
            <w:tcW w:w="181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66" w:type="dxa"/>
            <w:tcBorders/>
            <w:vAlign w:val="center"/>
          </w:tcPr>
          <w:p>
            <w:pPr>
              <w:pStyle w:val="TableContents"/>
              <w:bidi w:val="0"/>
              <w:spacing w:lineRule="auto" w:line="285" w:before="0" w:after="0"/>
              <w:ind w:left="0" w:right="0" w:hanging="0"/>
              <w:jc w:val="left"/>
              <w:rPr/>
            </w:pPr>
            <w:r>
              <w:rPr/>
              <w:t>​</w:t>
            </w:r>
          </w:p>
        </w:tc>
        <w:tc>
          <w:tcPr>
            <w:tcW w:w="66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7" w:type="dxa"/>
            <w:tcBorders/>
            <w:vAlign w:val="center"/>
          </w:tcPr>
          <w:p>
            <w:pPr>
              <w:pStyle w:val="TableContents"/>
              <w:bidi w:val="0"/>
              <w:spacing w:lineRule="auto" w:line="285" w:before="0" w:after="0"/>
              <w:ind w:left="0" w:right="0" w:hanging="0"/>
              <w:jc w:val="left"/>
              <w:rPr/>
            </w:pPr>
            <w:r>
              <w:rPr/>
              <w:t>​</w:t>
            </w:r>
          </w:p>
        </w:tc>
        <w:tc>
          <w:tcPr>
            <w:tcW w:w="86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left"/>
              <w:rPr/>
            </w:pPr>
            <w:r>
              <w:rPr/>
              <w:t>​</w:t>
            </w:r>
          </w:p>
        </w:tc>
        <w:tc>
          <w:tcPr>
            <w:tcW w:w="8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lineRule="auto" w:line="285"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Options to purchase shares of common stock</w:t>
            </w:r>
          </w:p>
        </w:tc>
        <w:tc>
          <w:tcPr>
            <w:tcW w:w="117" w:type="dxa"/>
            <w:tcBorders/>
            <w:shd w:fill="CCEEFF" w:val="clear"/>
            <w:vAlign w:val="center"/>
          </w:tcPr>
          <w:p>
            <w:pPr>
              <w:pStyle w:val="TableContents"/>
              <w:bidi w:val="0"/>
              <w:spacing w:lineRule="auto" w:line="285" w:before="0" w:after="0"/>
              <w:ind w:left="0" w:right="0" w:hanging="0"/>
              <w:jc w:val="center"/>
              <w:rPr/>
            </w:pPr>
            <w:r>
              <w:rPr/>
              <w:t>​</w:t>
            </w:r>
          </w:p>
        </w:tc>
        <w:tc>
          <w:tcPr>
            <w:tcW w:w="5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1,398</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7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27,716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5,596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27,392</w:t>
            </w:r>
          </w:p>
        </w:tc>
      </w:tr>
      <w:tr>
        <w:trPr/>
        <w:tc>
          <w:tcPr>
            <w:tcW w:w="43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Unvested RSUs</w:t>
            </w:r>
          </w:p>
        </w:tc>
        <w:tc>
          <w:tcPr>
            <w:tcW w:w="117" w:type="dxa"/>
            <w:tcBorders/>
            <w:vAlign w:val="center"/>
          </w:tcPr>
          <w:p>
            <w:pPr>
              <w:pStyle w:val="TableContents"/>
              <w:bidi w:val="0"/>
              <w:spacing w:lineRule="auto" w:line="285" w:before="0" w:after="0"/>
              <w:ind w:left="0" w:right="0" w:hanging="0"/>
              <w:jc w:val="left"/>
              <w:rPr/>
            </w:pPr>
            <w:r>
              <w:rPr/>
              <w:t>​</w:t>
            </w:r>
          </w:p>
        </w:tc>
        <w:tc>
          <w:tcPr>
            <w:tcW w:w="551" w:type="dxa"/>
            <w:tcBorders/>
            <w:vAlign w:val="center"/>
          </w:tcPr>
          <w:p>
            <w:pPr>
              <w:pStyle w:val="TableContents"/>
              <w:bidi w:val="0"/>
              <w:spacing w:lineRule="auto" w:line="285" w:before="0" w:after="0"/>
              <w:ind w:left="0" w:right="0" w:hanging="0"/>
              <w:jc w:val="right"/>
              <w:rPr/>
            </w:pPr>
            <w:r>
              <w:rPr/>
              <w:t>—</w:t>
            </w:r>
          </w:p>
        </w:tc>
        <w:tc>
          <w:tcPr>
            <w:tcW w:w="117" w:type="dxa"/>
            <w:tcBorders/>
            <w:vAlign w:val="center"/>
          </w:tcPr>
          <w:p>
            <w:pPr>
              <w:pStyle w:val="TableContents"/>
              <w:bidi w:val="0"/>
              <w:spacing w:lineRule="auto" w:line="285" w:before="0" w:after="0"/>
              <w:ind w:left="0" w:right="0" w:hanging="0"/>
              <w:jc w:val="left"/>
              <w:rPr/>
            </w:pPr>
            <w:r>
              <w:rPr/>
              <w:t>​</w:t>
            </w:r>
          </w:p>
        </w:tc>
        <w:tc>
          <w:tcPr>
            <w:tcW w:w="117" w:type="dxa"/>
            <w:tcBorders/>
            <w:vAlign w:val="center"/>
          </w:tcPr>
          <w:p>
            <w:pPr>
              <w:pStyle w:val="TableContents"/>
              <w:bidi w:val="0"/>
              <w:spacing w:lineRule="auto" w:line="285" w:before="0" w:after="0"/>
              <w:ind w:left="0" w:right="0" w:hanging="0"/>
              <w:jc w:val="left"/>
              <w:rPr/>
            </w:pPr>
            <w:r>
              <w:rPr/>
              <w:t>​</w:t>
            </w:r>
          </w:p>
        </w:tc>
        <w:tc>
          <w:tcPr>
            <w:tcW w:w="74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6,787</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9,144</w:t>
            </w:r>
          </w:p>
        </w:tc>
      </w:tr>
      <w:tr>
        <w:trPr/>
        <w:tc>
          <w:tcPr>
            <w:tcW w:w="43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Unexercised warrants</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5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7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w:t>
            </w:r>
          </w:p>
        </w:tc>
      </w:tr>
      <w:tr>
        <w:trPr/>
        <w:tc>
          <w:tcPr>
            <w:tcW w:w="436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Convertible preferred stock (as converted to common stock)</w:t>
            </w:r>
          </w:p>
        </w:tc>
        <w:tc>
          <w:tcPr>
            <w:tcW w:w="1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17" w:type="dxa"/>
            <w:tcBorders/>
            <w:vAlign w:val="center"/>
          </w:tcPr>
          <w:p>
            <w:pPr>
              <w:pStyle w:val="TableContents"/>
              <w:bidi w:val="0"/>
              <w:spacing w:lineRule="auto" w:line="285" w:before="0" w:after="0"/>
              <w:ind w:left="0" w:right="0" w:hanging="0"/>
              <w:jc w:val="left"/>
              <w:rPr/>
            </w:pPr>
            <w:r>
              <w:rPr/>
              <w:t>​</w:t>
            </w:r>
          </w:p>
        </w:tc>
        <w:tc>
          <w:tcPr>
            <w:tcW w:w="1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149,540</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375,000</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149,540</w:t>
            </w:r>
          </w:p>
        </w:tc>
      </w:tr>
      <w:tr>
        <w:trPr/>
        <w:tc>
          <w:tcPr>
            <w:tcW w:w="4366" w:type="dxa"/>
            <w:tcBorders/>
            <w:shd w:fill="CCEEFF" w:val="clear"/>
            <w:vAlign w:val="center"/>
          </w:tcPr>
          <w:p>
            <w:pPr>
              <w:pStyle w:val="TableContents"/>
              <w:bidi w:val="0"/>
              <w:spacing w:lineRule="auto" w:line="285" w:before="0" w:after="0"/>
              <w:ind w:left="0" w:right="0" w:hanging="0"/>
              <w:jc w:val="left"/>
              <w:rPr/>
            </w:pPr>
            <w:r>
              <w:rPr/>
              <w:t>​</w:t>
            </w:r>
          </w:p>
        </w:tc>
        <w:tc>
          <w:tcPr>
            <w:tcW w:w="1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1,404</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1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184,123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380,810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186,156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14. INCOME TAXES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record a provision or benefit for income taxes during the three and six months ended June 30, 2026 and 2025. The Company continues to maintain a full valuation allowance for its U.S. federal and state deferred tax assets.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evaluated the positive and negative evidence bearing upon its ability to realize the deferred tax assets. Management has considered the Company’s history of cumulative net losses incurred since inception and its generation of limited revenue from product sales since inception and has concluded that it is more likely than not that the Company will not realize the benefits of the deferred tax assets. Management reevaluates the positive and negative evidence at each reporting period.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Realization of the future tax benefits is dependent on many factors, including the Company’s ability to generate taxable income within the net operating loss carryforward period. Under the provisions of Section 382 of the Internal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 Code of 1986, certain substantial changes in the Company’s ownership, including a sale of the Company, or significant changes in ownership due to sales of equity, may have limited, or may limit in the future, the amount of net operating loss carryforwards, which could be used annually to offset future taxable income. The Company completed an analysis as of December 31, 2022 and determined that an additional ownership change occurred during December 2022 as a result of the issuance of its Series E Convertible Non-Redeemable Preferred Stock, further limiting the net operating loss carryforwards and research and development tax credits due to the expiration of those attributes. As a result, the utilization of the Company’s net operating loss carryforwards is subject to an annual limitation of $222. The Company has not completed an analysis as of December 31, 2024 but does not expect any change would further limit the net operating loss carryforwards.</w:t>
      </w:r>
    </w:p>
    <w:p>
      <w:pPr>
        <w:pStyle w:val="TextBody"/>
        <w:bidi w:val="0"/>
        <w:spacing w:lineRule="auto" w:line="285" w:before="0" w:after="0"/>
        <w:ind w:left="0" w:right="0" w:hanging="0"/>
        <w:jc w:val="left"/>
        <w:rPr/>
      </w:pPr>
      <w:r>
        <w:rPr/>
        <w:t>​</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The Company files its corporate income tax returns in the United States and various states. All tax years since the date of incorporation remain open to examination by the major taxing jurisdictions (state and federal) to which the Company is subject, as carryforward attributes generated in years past may still be adjusted upon examination by the Internal Revenue Service (“IRS”) or other authorities if they have or will be used in a future period. The Company is not currently under examination by the IRS or any other jurisdictions for any tax year.</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and December 31, 2025, the Company had no uncertain tax positions. The Company’s policy is to recognize interest and penalties related to income tax matters as a component of income tax expense, of which no interest or penalties were recorded for the three and six months ended June 30, 2026 and 2025. </w:t>
      </w:r>
    </w:p>
    <w:p>
      <w:pPr>
        <w:pStyle w:val="TextBody"/>
        <w:bidi w:val="0"/>
        <w:spacing w:lineRule="auto" w:line="285" w:before="0" w:after="240"/>
        <w:ind w:left="0" w:right="0" w:firstLine="720"/>
        <w:jc w:val="left"/>
        <w:rPr/>
      </w:pPr>
      <w:r>
        <w:rPr/>
        <w:t>​</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15. COMMITMENTS AND CONTINGENCIES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b/>
          <w:sz w:val="20"/>
        </w:rPr>
        <w:t>Stanford License Agreement</w:t>
      </w:r>
      <w:r>
        <w:rPr>
          <w:rFonts w:ascii="Times New Roman;Times;serif" w:hAnsi="Times New Roman;Times;serif"/>
          <w:sz w:val="20"/>
        </w:rPr>
        <w:t>— In October 2019, Combangio entered into a license agreement with The Board of Trustees of The Leland Stanford Junior University (“Stanford”), which was amended in February 2020 and subsequently transferred to the Company by operation of law upon our acquisition of Combangio in 2021 (the “Combangio Acquisition”). Pursuant to the license agreement with Stanford (the “Stanford Agreement”), the Company has a worldwide, exclusive, sublicensable license under certain patent rights (“licensed patents”), directed to methods to promote eye wound healing, to make, have made, use, import, offer to sell and sell products (“licensed products”) that are covered by the licensed patents for use in all fields. Under the Stanford Agreement, the Company is required to pay Stanford annual license maintenance fees in the low-to-mid five figures which are creditable against earned royalties owed to Stanford for the same year, an aggregate of up to $1,075 for the achievement of specified development and regulatory milestones, and an aggregate of up to $1,100 for the achievement of specified sales milestones. Stanford is also entitled to receive tiered royalties in a low single digit percentage range on net sales of licensed products that are covered by a valid claim of a licensed patent.</w:t>
      </w:r>
      <w:r>
        <w:rPr>
          <w:rFonts w:ascii="Times New Roman;Times;serif" w:hAnsi="Times New Roman;Times;serif"/>
          <w:sz w:val="20"/>
          <w:shd w:fill="FFFFFF" w:val="clear"/>
        </w:rPr>
        <w:t xml:space="preserve"> A</w:t>
      </w:r>
      <w:r>
        <w:rPr>
          <w:rFonts w:ascii="Times New Roman;Times;serif" w:hAnsi="Times New Roman;Times;serif"/>
          <w:sz w:val="20"/>
        </w:rPr>
        <w:t xml:space="preserve">mounts paid to Stanford in both the three and six months ended June 30, 2026 were $0. </w:t>
      </w:r>
      <w:r>
        <w:rPr>
          <w:rFonts w:ascii="Times New Roman;Times;serif" w:hAnsi="Times New Roman;Times;serif"/>
          <w:sz w:val="20"/>
          <w:shd w:fill="FFFFFF" w:val="clear"/>
        </w:rPr>
        <w:t>A</w:t>
      </w:r>
      <w:r>
        <w:rPr>
          <w:rFonts w:ascii="Times New Roman;Times;serif" w:hAnsi="Times New Roman;Times;serif"/>
          <w:sz w:val="20"/>
        </w:rPr>
        <w:t xml:space="preserve">mounts paid to Stanford in both the three and six months ended June 30, 2025 were </w:t>
      </w:r>
      <w:r>
        <w:rPr>
          <w:rFonts w:ascii="Times New Roman;Times;serif" w:hAnsi="Times New Roman;Times;serif"/>
          <w:i/>
          <w:sz w:val="20"/>
        </w:rPr>
        <w:t>de minimis</w:t>
      </w:r>
      <w:r>
        <w:rPr>
          <w:rFonts w:ascii="Times New Roman;Times;serif" w:hAnsi="Times New Roman;Times;serif"/>
          <w:sz w:val="20"/>
        </w:rPr>
        <w:t>.</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b/>
          <w:sz w:val="20"/>
        </w:rPr>
        <w:t>Litigation</w:t>
      </w:r>
      <w:r>
        <w:rPr>
          <w:rFonts w:ascii="Times New Roman;Times;serif" w:hAnsi="Times New Roman;Times;serif"/>
          <w:sz w:val="20"/>
        </w:rPr>
        <w:t>— The Company is not currently subject to any material legal proceedings.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b/>
          <w:sz w:val="20"/>
        </w:rPr>
        <w:t>Contingencies related to the Merger Agreement</w:t>
      </w:r>
      <w:r>
        <w:rPr>
          <w:rFonts w:ascii="Times New Roman;Times;serif" w:hAnsi="Times New Roman;Times;serif"/>
          <w:sz w:val="20"/>
        </w:rPr>
        <w:t>— In connection with the Combangio Acquisition, the Company agreed to make additional payments based on the achievement of certain milestone events related to KPI-012. The Company recognized certain contingent consideration liabilities at fair value on the acquisition date, and revalues the remaining obligations each reporting period. The total potential maximum payout for the milestone payments, which have been recorded as liabilities at fair value, is $40,000 and the milestone payments are contingent upon the achievement of specified development, regulatory and commercialization milestones. Following the achievement of the dosing of the first patient in the Company’s CHASE trial (the “First Dosing Milestone”) in February 2023, the Company paid an aggregate of $2,500 in cash and $2,354 in shares of the Company’s Common Stock (representing an aggregate of 2,100 shares of the Company’s common stock) to the former Combangio equity holders in March 2023. The Company paid the remaining amount due in connection with the First Dosing Milestone of $146 in cash in January 2024. Additionally, pursuant to the merger agreement for the Combangio Acquisition, the Company could trigger potential future sales-based milestone payments of up to $65,000 and cash royalty payment obligations in the mid-to-high single digits. Because the achievement of these sales-based milestones related to KPI-012 was not considered probable as of June 30, 2026 or December 31, 2025, such contingencies have not been recorded in the Company’s condensed consolidated financial statements. Amounts related to contingent milestone payments are not considered contractual obligations as they are contingent on the successful achievement of certain development, regulatory or commercial milestones</w:t>
      </w:r>
      <w:r>
        <w:rPr>
          <w:rFonts w:ascii="TimesNewRoman" w:hAnsi="TimesNewRoman"/>
          <w:sz w:val="20"/>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1751" w:name="Tc_Zr9jYJYSNESEl8ic-0_5fA_11_11"/>
      <w:bookmarkStart w:id="1752" w:name="Tc_6DuYrlJk9EGTU6Wpk6z4wA_11_8"/>
      <w:bookmarkStart w:id="1753" w:name="Tc_WITrpqTlgE2Ams20DbgMsQ_11_5"/>
      <w:bookmarkStart w:id="1754" w:name="Tc_U4gJEdsTBE-MWMBbp937jQ_11_2"/>
      <w:bookmarkStart w:id="1755" w:name="Tc_dRiEBUZbXU2yYsi4j4OXig_11_0"/>
      <w:bookmarkStart w:id="1756" w:name="Tc_DnpwSxGC1EC6PhEFkK-nyQ_10_0"/>
      <w:bookmarkStart w:id="1757" w:name="Tc_7GtpWVSUHkyIlGFqQ9L5Rg_9_0"/>
      <w:bookmarkStart w:id="1758" w:name="Tc_3h-YdlHB5EmUUZGz-uAQFg_8_0"/>
      <w:bookmarkStart w:id="1759" w:name="Tc_vIvbDUB-dEOkIp53dbBfvQ_7_3"/>
      <w:bookmarkStart w:id="1760" w:name="Tc_9ztIU6kze0SFB_Qs8ZC4bg_7_0"/>
      <w:bookmarkStart w:id="1761" w:name="Tc__knYJvRMX0yGbeAagbA7Bw_6_11"/>
      <w:bookmarkStart w:id="1762" w:name="Tc__I4cW6bjG0S23qOj2DEZ3g_6_9"/>
      <w:bookmarkStart w:id="1763" w:name="Tc_0MhhKzKnSEKIOdiNhgRB9A_6_8"/>
      <w:bookmarkStart w:id="1764" w:name="Tc_gZGGQjr-oUynqYF_tZBUIA_6_5"/>
      <w:bookmarkStart w:id="1765" w:name="Tc_15zg2jY3ikuEMicbEktduw_6_3"/>
      <w:bookmarkStart w:id="1766" w:name="Tc_kcLhIGE8kUir6m-2AZg7rw_6_2"/>
      <w:bookmarkStart w:id="1767" w:name="Tc_Ok-6BgEt00i-AnZPEM_Cbw_6_0"/>
      <w:bookmarkStart w:id="1768" w:name="Tc_dY0YVd4PgkCb59PQZCJFlg_5_0"/>
      <w:bookmarkStart w:id="1769" w:name="Tc_ItL7dmYAPEGKW5b7cHAg_w_4_0"/>
      <w:bookmarkStart w:id="1770" w:name="Tc_LM5DTOVwMUyfqHu1Xh657Q_3_11"/>
      <w:bookmarkStart w:id="1771" w:name="Tc_vs7ykIKcXEef5VfRljn2UA_3_8"/>
      <w:bookmarkStart w:id="1772" w:name="Tc_4N4_VPWimECAS2jRKohqNg_3_5"/>
      <w:bookmarkStart w:id="1773" w:name="Tc__pr9O4w8KkKpvEuA1xmeAw_3_2"/>
      <w:bookmarkStart w:id="1774" w:name="Tc_2GVdH5BKv0elBLyIBDUk-A_2_8"/>
      <w:bookmarkStart w:id="1775" w:name="Tc_BorHrq_FxE6vk5qF4PaXLA_2_2"/>
      <w:bookmarkStart w:id="1776" w:name="Tc_hx6K1s9kuECGGz9UEsh-tQ_1_8"/>
      <w:bookmarkStart w:id="1777" w:name="Tc_9W2eyBg3uUCQ41OPStIUmA_1_2"/>
      <w:bookmarkStart w:id="1778" w:name="_5f4c416d_b8a2_4d46_b3d5_085ea36a1793"/>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r>
        <w:rPr>
          <w:rFonts w:ascii="Times New Roman;Times;serif" w:hAnsi="Times New Roman;Times;serif"/>
          <w:b/>
          <w:sz w:val="20"/>
        </w:rPr>
        <w:t xml:space="preserve">16. SEGMENT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Operating segments are identified as components of an enterprise about which separate discrete financial information is made available for evaluation by the chief operating decision maker (“CODM”) in making decisions regarding resource allocation and assessing performance. The CODM is the Company’s Chief Executive Officer. The Company manages its operations as one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 for the purposes of assessing performance and making operating decisions. The Company's current focus is the development and commercialization of a biotech AI Platform through its exclusive license. All of the Company’s tangible assets are held in the United States.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CODM uses net loss as reported on the consolidated statements of operations and comprehensive loss to analyze cash flows in assessing performance of the segment and deciding how to allocate resources. The measure of segment assets is reported on the consolidated balance sheet as total assets.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table below provides information about the Company’s segment, including significant segment expenses, other segment items and a reconciliation to net loss: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00"/>
        <w:gridCol w:w="346"/>
        <w:gridCol w:w="211"/>
        <w:gridCol w:w="689"/>
        <w:gridCol w:w="346"/>
        <w:gridCol w:w="211"/>
        <w:gridCol w:w="794"/>
        <w:gridCol w:w="109"/>
        <w:gridCol w:w="211"/>
        <w:gridCol w:w="689"/>
        <w:gridCol w:w="346"/>
        <w:gridCol w:w="211"/>
        <w:gridCol w:w="842"/>
      </w:tblGrid>
      <w:tr>
        <w:trPr/>
        <w:tc>
          <w:tcPr>
            <w:tcW w:w="5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302000" cy="175260"/>
                      <wp:effectExtent l="0" t="0" r="0" b="0"/>
                      <wp:wrapNone/>
                      <wp:docPr id="253" name="Frame253"/>
                      <a:graphic xmlns:a="http://schemas.openxmlformats.org/drawingml/2006/main">
                        <a:graphicData uri="http://schemas.microsoft.com/office/word/2010/wordprocessingShape">
                          <wps:wsp>
                            <wps:cNvSpPr txBox="1"/>
                            <wps:spPr>
                              <a:xfrm>
                                <a:off x="0" y="0"/>
                                <a:ext cx="3302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lineRule="auto" w:line="285" w:before="0" w:after="0"/>
              <w:ind w:left="0" w:right="0" w:hanging="0"/>
              <w:jc w:val="left"/>
              <w:rPr/>
            </w:pPr>
            <w:r>
              <w:rPr/>
              <w:t>​</w:t>
            </w:r>
          </w:p>
        </w:tc>
        <w:tc>
          <w:tcPr>
            <w:tcW w:w="79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lineRule="auto" w:line="285" w:before="0" w:after="0"/>
              <w:ind w:left="0" w:right="0" w:hanging="0"/>
              <w:jc w:val="left"/>
              <w:rPr/>
            </w:pPr>
            <w:r>
              <w:rPr/>
              <w:t>​</w:t>
            </w:r>
          </w:p>
        </w:tc>
        <w:tc>
          <w:tcPr>
            <w:tcW w:w="842" w:type="dxa"/>
            <w:tcBorders/>
            <w:vAlign w:val="center"/>
          </w:tcPr>
          <w:p>
            <w:pPr>
              <w:pStyle w:val="TableContents"/>
              <w:bidi w:val="0"/>
              <w:spacing w:lineRule="auto" w:line="285" w:before="0" w:after="0"/>
              <w:ind w:left="0" w:right="0" w:hanging="0"/>
              <w:jc w:val="left"/>
              <w:rPr/>
            </w:pPr>
            <w:r>
              <w:rPr/>
              <w:t>​</w:t>
            </w:r>
          </w:p>
        </w:tc>
      </w:tr>
      <w:tr>
        <w:trPr/>
        <w:tc>
          <w:tcPr>
            <w:tcW w:w="520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1"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285" w:before="0" w:after="0"/>
              <w:ind w:left="0" w:right="0" w:hanging="0"/>
              <w:jc w:val="left"/>
              <w:rPr/>
            </w:pPr>
            <w:r>
              <w:rPr/>
              <w:t>​</w:t>
            </w:r>
          </w:p>
        </w:tc>
        <w:tc>
          <w:tcPr>
            <w:tcW w:w="2299"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20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229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20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5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0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68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794"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68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842" w:type="dxa"/>
            <w:tcBorders/>
            <w:vAlign w:val="center"/>
          </w:tcPr>
          <w:p>
            <w:pPr>
              <w:pStyle w:val="TableContents"/>
              <w:bidi w:val="0"/>
              <w:spacing w:lineRule="auto" w:line="285" w:before="0" w:after="0"/>
              <w:ind w:left="0" w:right="0" w:hanging="0"/>
              <w:jc w:val="center"/>
              <w:rPr/>
            </w:pPr>
            <w:r>
              <w:rPr/>
              <w:t>​</w:t>
            </w:r>
          </w:p>
        </w:tc>
      </w:tr>
      <w:tr>
        <w:trPr/>
        <w:tc>
          <w:tcPr>
            <w:tcW w:w="520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2" w:type="dxa"/>
            <w:tcBorders/>
            <w:shd w:fill="CCEEFF" w:val="clear"/>
            <w:vAlign w:val="center"/>
          </w:tcPr>
          <w:p>
            <w:pPr>
              <w:pStyle w:val="TableContents"/>
              <w:bidi w:val="0"/>
              <w:spacing w:lineRule="auto" w:line="285" w:before="0" w:after="0"/>
              <w:ind w:left="0" w:right="0" w:hanging="0"/>
              <w:jc w:val="right"/>
              <w:rPr/>
            </w:pPr>
            <w:r>
              <w:rPr/>
              <w:t>​</w:t>
            </w:r>
          </w:p>
        </w:tc>
      </w:tr>
      <w:tr>
        <w:trPr/>
        <w:tc>
          <w:tcPr>
            <w:tcW w:w="520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KPI</w:t>
              <w:noBreakHyphen/>
              <w:t>012 development costs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2,510</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5,317</w:t>
            </w:r>
          </w:p>
        </w:tc>
      </w:tr>
      <w:tr>
        <w:trPr/>
        <w:tc>
          <w:tcPr>
            <w:tcW w:w="520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w:t>
              <w:noBreakHyphen/>
              <w:t>related costs for research and development personnel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3,453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6,385</w:t>
            </w:r>
          </w:p>
        </w:tc>
      </w:tr>
      <w:tr>
        <w:trPr/>
        <w:tc>
          <w:tcPr>
            <w:tcW w:w="520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 costs (1)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585</w:t>
            </w:r>
          </w:p>
        </w:tc>
      </w:tr>
      <w:tr>
        <w:trPr/>
        <w:tc>
          <w:tcPr>
            <w:tcW w:w="520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9,236</w:t>
            </w:r>
          </w:p>
        </w:tc>
      </w:tr>
      <w:tr>
        <w:trPr/>
        <w:tc>
          <w:tcPr>
            <w:tcW w:w="520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segment expense (income), net (2)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(1,421)</w:t>
            </w:r>
          </w:p>
        </w:tc>
      </w:tr>
      <w:tr>
        <w:trPr/>
        <w:tc>
          <w:tcPr>
            <w:tcW w:w="520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(20,102)</w:t>
            </w:r>
          </w:p>
        </w:tc>
      </w:tr>
    </w:tbl>
    <w:p>
      <w:pPr>
        <w:pStyle w:val="TextBody"/>
        <w:bidi w:val="0"/>
        <w:spacing w:lineRule="auto" w:line="285" w:before="0" w:after="0"/>
        <w:ind w:left="0" w:right="0" w:firstLine="720"/>
        <w:jc w:val="left"/>
        <w:rPr/>
      </w:pPr>
      <w:r>
        <w:rPr/>
        <w:t>​</w:t>
      </w:r>
    </w:p>
    <w:tbl>
      <w:tblPr>
        <w:tblW w:w="4431" w:type="dxa"/>
        <w:jc w:val="left"/>
        <w:tblInd w:w="0" w:type="dxa"/>
        <w:tblLayout w:type="fixed"/>
        <w:tblCellMar>
          <w:top w:w="28" w:type="dxa"/>
          <w:left w:w="28" w:type="dxa"/>
          <w:bottom w:w="28" w:type="dxa"/>
          <w:right w:w="28" w:type="dxa"/>
        </w:tblCellMar>
      </w:tblPr>
      <w:tblGrid>
        <w:gridCol w:w="124"/>
        <w:gridCol w:w="331"/>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facility related costs and depreciation.</w:t>
            </w:r>
          </w:p>
        </w:tc>
      </w:tr>
    </w:tbl>
    <w:tbl>
      <w:tblPr>
        <w:tblW w:w="10205" w:type="dxa"/>
        <w:jc w:val="left"/>
        <w:tblInd w:w="0" w:type="dxa"/>
        <w:tblLayout w:type="fixed"/>
        <w:tblCellMar>
          <w:top w:w="28" w:type="dxa"/>
          <w:left w:w="28" w:type="dxa"/>
          <w:bottom w:w="28" w:type="dxa"/>
          <w:right w:w="28" w:type="dxa"/>
        </w:tblCellMar>
      </w:tblPr>
      <w:tblGrid>
        <w:gridCol w:w="124"/>
        <w:gridCol w:w="317"/>
        <w:gridCol w:w="9764"/>
      </w:tblGrid>
      <w:tr>
        <w:trPr/>
        <w:tc>
          <w:tcPr>
            <w:tcW w:w="124" w:type="dxa"/>
            <w:tcBorders/>
            <w:vAlign w:val="center"/>
          </w:tcPr>
          <w:p>
            <w:pPr>
              <w:pStyle w:val="TableContents"/>
              <w:bidi w:val="0"/>
              <w:spacing w:before="0" w:after="283"/>
              <w:jc w:val="left"/>
              <w:rPr>
                <w:sz w:val="4"/>
                <w:szCs w:val="4"/>
              </w:rPr>
            </w:pPr>
            <w:r>
              <w:rPr>
                <w:sz w:val="4"/>
                <w:szCs w:val="4"/>
              </w:rPr>
            </w:r>
          </w:p>
        </w:tc>
        <w:tc>
          <w:tcPr>
            <w:tcW w:w="3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loss (gain) on fair value remeasurement of contingent consideration, Interest income, Interest expense, Grant income and other expense, net. </w:t>
            </w:r>
          </w:p>
        </w:tc>
      </w:tr>
    </w:tbl>
    <w:p>
      <w:pPr>
        <w:pStyle w:val="TextBody"/>
        <w:bidi w:val="0"/>
        <w:spacing w:lineRule="auto" w:line="285" w:before="240" w:after="0"/>
        <w:ind w:left="0" w:right="0" w:hanging="0"/>
        <w:jc w:val="left"/>
        <w:rPr>
          <w:rFonts w:ascii="Times New Roman;Times;serif" w:hAnsi="Times New Roman;Times;serif"/>
          <w:b/>
          <w:sz w:val="20"/>
        </w:rPr>
      </w:pPr>
      <w:r>
        <w:rPr>
          <w:rFonts w:ascii="Times New Roman;Times;serif" w:hAnsi="Times New Roman;Times;serif"/>
          <w:b/>
          <w:sz w:val="20"/>
        </w:rPr>
        <w:t>17. SUBSEQUENT EVENTS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On July 22, 2026, subsequent to the quarter ended June 30, 2026, the Company filed a prospectus supplement to its Shelf Registration Statement, pursuant to which the Company may offer and sell up to $250,000,000 of shares of its common stock from time to time pursuant to the ATM Agreement.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779" w:name="Item2ManagementsDiscussionandAnalysisofF"/>
      <w:bookmarkStart w:id="1780" w:name="_fa6b154b_1772_40c9_95c1_1a06118e0209"/>
      <w:bookmarkEnd w:id="1779"/>
      <w:bookmarkEnd w:id="1780"/>
      <w:r>
        <w:rPr>
          <w:rFonts w:ascii="Times New Roman;Times;serif" w:hAnsi="Times New Roman;Times;serif"/>
          <w:b/>
          <w:sz w:val="20"/>
        </w:rPr>
        <w:t>Item 2. Management’s Discussion and Analysis of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i/>
          <w:sz w:val="20"/>
        </w:rPr>
        <w:t>The following discussion and analysis of our financial condition and results of operations should be read together with our unaudited condensed consolidated financial statements and related notes thereto appearing elsewhere in this Quarterly Report on Form 10-Q and our Annual Report on Form 10-K for the year ended December 31, 2025, which was filed with the Securities and Exchange Commission on April 15, 2026.</w:t>
      </w:r>
      <w:r>
        <w:rPr>
          <w:rFonts w:ascii="Times New Roman;Times;serif" w:hAnsi="Times New Roman;Times;serif"/>
          <w:sz w:val="20"/>
        </w:rPr>
        <w:t xml:space="preserve"> </w:t>
      </w:r>
      <w:r>
        <w:rPr>
          <w:rFonts w:ascii="Times New Roman;Times;serif" w:hAnsi="Times New Roman;Times;serif"/>
          <w:i/>
          <w:sz w:val="20"/>
        </w:rPr>
        <w:t xml:space="preserve">This Quarterly Report on Form 10-Q contains forward-looking statements that involve substantial risks and uncertainties.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Our forward-looking statements do not reflect the potential impact of any future acquisitions, mergers, dispositions, joint ventures or investments that we may make.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240" w:after="0"/>
        <w:ind w:left="0" w:right="0" w:firstLine="720"/>
        <w:jc w:val="both"/>
        <w:rPr>
          <w:rFonts w:ascii="Times New Roman;Times;serif" w:hAnsi="Times New Roman;Times;serif"/>
          <w:sz w:val="20"/>
        </w:rPr>
      </w:pPr>
      <w:r>
        <w:rPr>
          <w:rFonts w:ascii="Times New Roman;Times;serif" w:hAnsi="Times New Roman;Times;serif"/>
          <w:sz w:val="20"/>
        </w:rPr>
        <w:t>We are a biopharmaceutical company in transition, evaluating the development of a dedicated, on-premises artificial intelligence (AI) infrastructure platform for the biotechnology industry. Our current focus is leveraging our mesenchymal stem cell secretome (“MSC-S”) platform to test the development of a scalable AI platform-as-a-service business to deploy secure, purpose-built AI systems directly within biotech and pharmaceutical client environments. We have historically been engaged in the research, development and commercialization of innovative therapies for rare and severe diseases of the front and back of the eye. Our lead product candidate was KPI-012, MSC-S, which we acquired from Combangio, Inc. (“Combangio”) on November 15, 2021. KPI-012 was in clinical development for the treatment of persistent corneal epithelial defects (“PCED”), a rare disease of impaired corneal healing. Based on the results of a Phase 1b clinical safety and efficacy trial of KPI-012 in patients with PCED, we submitted an investigational new drug application to the U.S. Food and Drug Administration (“FDA”), which was accepted in December 2022. In February 2023, we dosed our first patient in the United States in our CHASE (Corneal Healing After SEcretome therapy) Phase 2b clinical trial of KPI-012 for PCED (the “CHASE trial”). By September 2025, the CHASE trial had not met its primary endpoints, and was decided to discontinue development of KPI-012 and the MSC-S platform. We have since expanded upon our business to evaluate strategic alternatives for our legacy MSC-S assets and capitalize on the substantial intellectual property (IP), proprietary biological datasets, and research experience generated during the clinical trials by starting development of an AI platform.</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in the process of transitioning from historical biologics research and development (R&amp;D) activities to an “AI platform-as-a-service” model that provides dedicated, on-premises artificial intelligence infrastructure solutions to biotechnology and pharmaceutical customers. Following the discontinuation of the CHASE Phase 2b clinical trial of KPI-012 in September 2025 and the subsequent resolution of our obligations to Oxford Finance, our current operating focus is (i) the monetization or out-licensing of remaining biologics-related assets and (ii) development and commercialization planning for our licensed Researgency agentic AI platform (the “Researgency Platform”). This transition is expected to impact our operating expenses, capital requirements, and sources and uses of cash as described further below. </w:t>
      </w:r>
    </w:p>
    <w:p>
      <w:pPr>
        <w:pStyle w:val="TextBody"/>
        <w:bidi w:val="0"/>
        <w:spacing w:lineRule="auto" w:line="285" w:before="0" w:after="0"/>
        <w:ind w:left="0" w:right="0" w:hanging="0"/>
        <w:jc w:val="both"/>
        <w:rPr/>
      </w:pPr>
      <w:r>
        <w:rPr/>
        <w:t>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have refocused our business on two complementary strategic priorities. First, we are preserving and seeking to maximize the value of our MSC-S biologics asset portfolio, including the KPI-012 and KPI-014 product candidates and related intellectual property, through potential licensing, collaboration, and other strategic arrangements with third parties, as well as through evaluation of opportunities to resume preclinical development activities subject to the availability of additional capital. Second, we are building our Researgency business through our exclusive license for the Researgency Platform, which we intend to deploy as a dedicated, on-premises AI infrastructure solution for biotechnology and pharmaceutical companies. We believe this dual-track strategy preserves and creates optionality around our biologics assets while simultaneously pursuing a potential business opportunity in the rapidly growing AI platform market for the biotechnology industry.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inception, we have incurred significant losses from operations and negative cash flows from operations. Our net losses were $3.2 million and $27.0 million for the six months ended June 30, 2026 and year ended December 31, 2025, respectively. As of June 30, 2026, we had an accumulated deficit of $698.1 million. We have historically financed our operations primarily through proceeds from the sale of our Commercial Business to Alcon, our initial public offering (the “IPO”), follow-on public Common Stock offerings and sales of our Common Stock under our sales agreement with H.C. Wainwright &amp; Co., LLC (“Wainwright”) in at-the-market offerings, private placements of Common Stock and/or preferred stock (including our most recent private placements resulting in gross proceeds of approximately $4.2 million in January 2026).</w:t>
      </w:r>
    </w:p>
    <w:p>
      <w:pPr>
        <w:pStyle w:val="TextBody"/>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Business and Operations Update</w:t>
      </w:r>
    </w:p>
    <w:p>
      <w:pPr>
        <w:pStyle w:val="TextBody"/>
        <w:bidi w:val="0"/>
        <w:spacing w:lineRule="auto" w:line="328" w:before="280" w:after="160"/>
        <w:ind w:left="0" w:right="0" w:firstLine="720"/>
        <w:jc w:val="left"/>
        <w:rPr>
          <w:rFonts w:ascii="Times New Roman;Times;serif" w:hAnsi="Times New Roman;Times;serif"/>
          <w:sz w:val="20"/>
        </w:rPr>
      </w:pPr>
      <w:r>
        <w:rPr>
          <w:rFonts w:ascii="Times New Roman;Times;serif" w:hAnsi="Times New Roman;Times;serif"/>
          <w:sz w:val="20"/>
        </w:rPr>
        <w:t>Notwithstanding our streamlined cost structure, we have continued to actively operate and develop our business during the period and through the date of this Quarterly Report.</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We have devoted significant time and resources, together with our intellectual property counsel, to maintaining and protecting our intellectual property portfolio. During the period, we strategically renewed, or continued the prosecution and maintenance of, our patent estate across much of the territory in which it is protected, keeping the portfolio in good standing. In connection with this review, which has included consultations with members of prior management and operating personnel, we identified potential additional regulatory designations and molecular characteristics of our intellectual property that we believe may support additional avenues for developing the underlying science, and we are evaluating those opportunities.</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In addition, using the Researgency Platform under our exclusive license, we have processed and analyzed proprietary data sets and other information to train and operate models directed at potential commercial applications. This work remains in development. We have also engaged with industry participants, including at biotechnology industry conferences, to develop further insight into the market for artificial intelligence applications in biotechnology and to inform our commercialization strategy. There can be no assurance that these initiatives will result in commercially viable products or services.</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Strategic Growth and Acquisition Initiatives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As part of our forward corporate development strategy, we are actively evaluating, and from time to time engaging in preliminary discussions regarding, potential acquisitions, investments, joint ventures and other strategic transactions that we believe may be accretive to our business and synergistic with our data-sovereign biomedical and computing initiatives, including opportunities that may be enabled by the acquisition or development of artificial intelligence data center infrastructure intended to serve this vertical. Having devoted substantial time and resources to administrative matters and to establishing an operational, governance and capital markets foundation for the Company, we believe we are now positioned to pursue growth-oriented transactions consistent with this strategy. In addition, we are exploring a range of opportunities involving companies operating at the intersection of space technology and biotechnology, blockchain-based data and asset management, and the tokenization of assets, with potential applications in biotechnology, intellectual property and other sectors. We have not entered into any definitive agreement, and are not currently a party to any binding commitment, with respect to any such transaction, and there can be no assurance that any of these evaluations or discussions will result in a completed transaction or that any completed transaction will achieve its anticipated benefits. Any such transaction, if pursued, may be funded in whole or in part with net proceeds from this offering, cash on hand, the issuance of equity, equity-linked or debt securities, or a combination of the foregoing.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Reverse Stock Split </w:t>
      </w:r>
    </w:p>
    <w:p>
      <w:pPr>
        <w:pStyle w:val="TextBody"/>
        <w:bidi w:val="0"/>
        <w:spacing w:lineRule="auto" w:line="285" w:before="240" w:after="0"/>
        <w:ind w:left="0" w:right="0" w:firstLine="720"/>
        <w:jc w:val="left"/>
        <w:rPr>
          <w:rFonts w:ascii="Times New Roman;Times;serif" w:hAnsi="Times New Roman;Times;serif"/>
          <w:sz w:val="20"/>
        </w:rPr>
      </w:pPr>
      <w:r>
        <w:rPr>
          <w:rFonts w:ascii="Times New Roman;Times;serif" w:hAnsi="Times New Roman;Times;serif"/>
          <w:sz w:val="20"/>
        </w:rPr>
        <w:t>On May 7, 2026, we effected a 1-for-50 reverse stock split of its Common Stock, pursuant to which each fifty (50) shares of Common Stock were converted into one share of common stock. No fractional shares were issued in connection with the Reverse Stock Split, and stockholders who otherwise would have been entitled to receive fractional shares are entitled to receive a cash payment in lieu of such fractional shares. All share and per share amounts in these condensed consolidated financial statements and related notes have been retroactively adjusted to reflect the Reverse Stock Split for all periods presented.</w:t>
      </w:r>
    </w:p>
    <w:p>
      <w:pPr>
        <w:pStyle w:val="TextBody"/>
        <w:shd w:fill="FFFFFF" w:val="clear"/>
        <w:bidi w:val="0"/>
        <w:spacing w:lineRule="auto" w:line="285" w:before="240" w:after="240"/>
        <w:ind w:left="0" w:right="0" w:hanging="0"/>
        <w:jc w:val="left"/>
        <w:rPr>
          <w:rFonts w:ascii="Times New Roman;Times;serif" w:hAnsi="Times New Roman;Times;serif"/>
          <w:i/>
          <w:sz w:val="20"/>
        </w:rPr>
      </w:pPr>
      <w:r>
        <w:rPr>
          <w:rFonts w:ascii="Times New Roman;Times;serif" w:hAnsi="Times New Roman;Times;serif"/>
          <w:i/>
          <w:sz w:val="20"/>
        </w:rPr>
        <w:t>ATM</w:t>
      </w:r>
    </w:p>
    <w:p>
      <w:pPr>
        <w:pStyle w:val="TextBody"/>
        <w:bidi w:val="0"/>
        <w:spacing w:lineRule="auto" w:line="285" w:before="0" w:after="240"/>
        <w:ind w:left="0" w:right="0" w:firstLine="286"/>
        <w:jc w:val="left"/>
        <w:rPr>
          <w:rFonts w:ascii="Times New Roman;Times;serif" w:hAnsi="Times New Roman;Times;serif"/>
          <w:sz w:val="20"/>
        </w:rPr>
      </w:pPr>
      <w:r>
        <w:rPr>
          <w:rFonts w:ascii="Times New Roman;Times;serif" w:hAnsi="Times New Roman;Times;serif"/>
          <w:sz w:val="20"/>
        </w:rPr>
        <w:t>On July 22, 2026, we filed an additional prospectus supplement to our Shelf Registration Statement. See “Note 17 - Subsequent Events” for additional information.</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pBdr/>
        <w:bidi w:val="0"/>
        <w:spacing w:lineRule="auto" w:line="285" w:before="0" w:after="240"/>
        <w:ind w:left="0" w:right="0" w:hanging="286"/>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management’s discussion and analysis of our financial condition and results of operations is based on our financial statements, which we have prepared in accordance with U.S. generally accepted accounting principles. We believe that several accounting policies are important to understanding our historical and future performance. We refer to these policies as </w:t>
      </w:r>
      <w:r>
        <w:rPr>
          <w:rFonts w:ascii="Times New Roman;Times;serif" w:hAnsi="Times New Roman;Times;serif"/>
          <w:sz w:val="20"/>
          <w:shd w:fill="FFFFFF" w:val="clear"/>
        </w:rPr>
        <w:t>critical</w:t>
      </w:r>
      <w:r>
        <w:rPr>
          <w:rFonts w:ascii="Times New Roman;Times;serif" w:hAnsi="Times New Roman;Times;serif"/>
          <w:sz w:val="20"/>
        </w:rPr>
        <w:t xml:space="preserve">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our critical accounting estimates from those described in “Management’s Discussion and Analysis of Financial Condition and Results of Operations” in our Annual Report on Form 10-K for the fiscal year ended December 31, 2025.</w:t>
      </w:r>
    </w:p>
    <w:p>
      <w:pPr>
        <w:pStyle w:val="TextBody"/>
        <w:bidi w:val="0"/>
        <w:spacing w:lineRule="auto" w:line="285" w:before="0" w:after="0"/>
        <w:ind w:left="0" w:right="0" w:hanging="0"/>
        <w:jc w:val="left"/>
        <w:rPr/>
      </w:pPr>
      <w:bookmarkStart w:id="1781" w:name="_5780555a_7aa5_4819_8e3f_43b1b12cbe98"/>
      <w:bookmarkEnd w:id="1781"/>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Comparison of the Three Months Ended June 30, 2026 and 2025 </w:t>
      </w:r>
    </w:p>
    <w:p>
      <w:pPr>
        <w:pStyle w:val="TextBody"/>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The following table summarizes the results of our operations for the three months ended June 30, 2026 and 2025:</w:t>
      </w:r>
    </w:p>
    <w:tbl>
      <w:tblPr>
        <w:tblW w:w="8410" w:type="dxa"/>
        <w:jc w:val="left"/>
        <w:tblInd w:w="0" w:type="dxa"/>
        <w:tblLayout w:type="fixed"/>
        <w:tblCellMar>
          <w:top w:w="0" w:type="dxa"/>
          <w:left w:w="0" w:type="dxa"/>
          <w:bottom w:w="0" w:type="dxa"/>
          <w:right w:w="0" w:type="dxa"/>
        </w:tblCellMar>
      </w:tblPr>
      <w:tblGrid>
        <w:gridCol w:w="5116"/>
        <w:gridCol w:w="146"/>
        <w:gridCol w:w="211"/>
        <w:gridCol w:w="691"/>
        <w:gridCol w:w="146"/>
        <w:gridCol w:w="211"/>
        <w:gridCol w:w="796"/>
        <w:gridCol w:w="146"/>
        <w:gridCol w:w="211"/>
        <w:gridCol w:w="736"/>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248660" cy="175260"/>
                      <wp:effectExtent l="0" t="0" r="0" b="0"/>
                      <wp:wrapNone/>
                      <wp:docPr id="258" name="Frame258"/>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92710" cy="175260"/>
                      <wp:effectExtent l="0" t="0" r="0" b="0"/>
                      <wp:wrapNone/>
                      <wp:docPr id="259" name="Frame25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38785" cy="175260"/>
                      <wp:effectExtent l="0" t="0" r="0" b="0"/>
                      <wp:wrapNone/>
                      <wp:docPr id="261" name="Frame2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92710" cy="175260"/>
                      <wp:effectExtent l="0" t="0" r="0" b="0"/>
                      <wp:wrapNone/>
                      <wp:docPr id="262" name="Frame26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05460" cy="175260"/>
                      <wp:effectExtent l="0" t="0" r="0" b="0"/>
                      <wp:wrapNone/>
                      <wp:docPr id="264" name="Frame2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2710" cy="175260"/>
                      <wp:effectExtent l="0" t="0" r="0" b="0"/>
                      <wp:wrapNone/>
                      <wp:docPr id="265" name="Frame26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67360" cy="175260"/>
                      <wp:effectExtent l="0" t="0" r="0" b="0"/>
                      <wp:wrapNone/>
                      <wp:docPr id="267" name="Frame26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0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pPr>
            <w:r>
              <w:rPr/>
              <w:t>​</w:t>
            </w:r>
          </w:p>
        </w:tc>
      </w:tr>
      <w:tr>
        <w:trPr/>
        <w:tc>
          <w:tcPr>
            <w:tcW w:w="511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05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left"/>
              <w:rPr/>
            </w:pPr>
            <w:r>
              <w:rPr/>
              <w:t>​</w:t>
            </w:r>
          </w:p>
        </w:tc>
      </w:tr>
      <w:tr>
        <w:trPr/>
        <w:tc>
          <w:tcPr>
            <w:tcW w:w="511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lineRule="auto" w:line="285"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lineRule="auto" w:line="285"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841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11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0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left"/>
              <w:rPr/>
            </w:pPr>
            <w:r>
              <w:rPr/>
              <w:t>​</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36" w:type="dxa"/>
            <w:tcBorders/>
            <w:shd w:fill="CCEEFF" w:val="clear"/>
            <w:vAlign w:val="center"/>
          </w:tcPr>
          <w:p>
            <w:pPr>
              <w:pStyle w:val="TableContents"/>
              <w:bidi w:val="0"/>
              <w:spacing w:lineRule="auto" w:line="285" w:before="0" w:after="0"/>
              <w:ind w:left="0" w:right="0" w:hanging="0"/>
              <w:jc w:val="right"/>
              <w:rPr/>
            </w:pPr>
            <w:r>
              <w:rPr/>
              <w:t>​</w:t>
            </w:r>
          </w:p>
        </w:tc>
      </w:tr>
      <w:tr>
        <w:trPr/>
        <w:tc>
          <w:tcPr>
            <w:tcW w:w="5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4,643</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(2,981)</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6,232</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(6,173)</w:t>
            </w:r>
          </w:p>
        </w:tc>
      </w:tr>
      <w:tr>
        <w:trPr/>
        <w:tc>
          <w:tcPr>
            <w:tcW w:w="5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on fair value remeasurement of contingent consideration</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1,721</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11,028</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(9,307)</w:t>
            </w:r>
          </w:p>
        </w:tc>
      </w:tr>
      <w:tr>
        <w:trPr/>
        <w:tc>
          <w:tcPr>
            <w:tcW w:w="5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(1,721)</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(11,028)</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9,307</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  ​</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  ​</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36" w:type="dxa"/>
            <w:tcBorders/>
            <w:shd w:fill="CCEEFF" w:val="clear"/>
            <w:vAlign w:val="center"/>
          </w:tcPr>
          <w:p>
            <w:pPr>
              <w:pStyle w:val="TableContents"/>
              <w:bidi w:val="0"/>
              <w:spacing w:lineRule="auto" w:line="285" w:before="0" w:after="0"/>
              <w:ind w:left="0" w:right="0" w:hanging="0"/>
              <w:jc w:val="right"/>
              <w:rPr/>
            </w:pPr>
            <w:r>
              <w:rPr/>
              <w:t>  ​</w:t>
            </w:r>
          </w:p>
        </w:tc>
      </w:tr>
      <w:tr>
        <w:trPr/>
        <w:tc>
          <w:tcPr>
            <w:tcW w:w="5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1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(1,081)</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1,081</w:t>
            </w:r>
          </w:p>
        </w:tc>
      </w:tr>
      <w:tr>
        <w:trPr/>
        <w:tc>
          <w:tcPr>
            <w:tcW w:w="5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 income</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(547)</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(1,581)</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(11,155)</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9,574</w:t>
            </w:r>
          </w:p>
        </w:tc>
      </w:tr>
    </w:tbl>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General and administrative expenses consist primarily of salaries, benefits, stock-based compensation and travel expenses related to our executive, finance, human resources, legal, compliance, information technology and business development functions. General and administrative expenses also include professional fees for auditing, tax, information technology, consultants, legal services and allocated facility related costs not otherwise included in research and development expenses.</w:t>
      </w:r>
      <w:r>
        <w:rPr>
          <w:rFonts w:ascii="Times New Roman;Times;serif" w:hAnsi="Times New Roman;Times;serif"/>
          <w:sz w:val="20"/>
        </w:rPr>
        <w:t xml:space="preserv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were $1.7 million for the three months ended June 30, 2026, compared to $4.6 million for the three months ended June 30, 2025, which was a decrease of $3.0 million. The decrease in general and administrative expenses for the three months ended June 30, 2026 was primarily due to a decrease of approximately $3.2 million</w:t>
      </w:r>
      <w:r>
        <w:rPr>
          <w:rFonts w:ascii="Times New Roman;Times;serif" w:hAnsi="Times New Roman;Times;serif"/>
          <w:sz w:val="20"/>
          <w:shd w:fill="FFFFFF" w:val="clear"/>
        </w:rPr>
        <w:t> in employee-related costs and stock-based compensation, primarily a result of our decision to cease development of KPI-012 and our MSC-S platform, including costs related to restructuring and wind-down activities, partially offset by $0.2 million increased legal and professional services support in connection with those activities</w:t>
      </w:r>
      <w:r>
        <w:rPr>
          <w:rFonts w:ascii="Times New Roman;Times;serif" w:hAnsi="Times New Roman;Times;serif"/>
          <w:sz w:val="20"/>
        </w:rPr>
        <w:t>..</w:t>
      </w:r>
    </w:p>
    <w:p>
      <w:pPr>
        <w:pStyle w:val="TextBody"/>
        <w:bidi w:val="0"/>
        <w:spacing w:lineRule="auto" w:line="285" w:before="240" w:after="240"/>
        <w:ind w:left="0" w:right="0" w:hanging="0"/>
        <w:jc w:val="left"/>
        <w:rPr>
          <w:rFonts w:ascii="Times New Roman;Times;serif" w:hAnsi="Times New Roman;Times;serif"/>
          <w:i/>
          <w:sz w:val="20"/>
        </w:rPr>
      </w:pPr>
      <w:r>
        <w:rPr>
          <w:rFonts w:ascii="Times New Roman;Times;serif" w:hAnsi="Times New Roman;Times;serif"/>
          <w:i/>
          <w:sz w:val="20"/>
        </w:rPr>
        <w:t xml:space="preserve">Research and development expenses </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Research and development expenses consist of costs associated with our research activities, including compensation and benefits for full time research and development employees, an allocation of facilities expenses, overhead expenses and certain outside expenses. Our research and development expenses generally include: employee related expenses, including salaries and stock based compensation; expenses incurred for the preclinical and clinical development of our product candidates and under agreements with contract research organizations, including costs of manufacturing product candidates prior to the determination that FDA approval of a drug candidate is probable and before the future economic benefit of the drug is expected to be realized; and facilities, depreciation and other expenses, which include direct and allocated expenses for rent and maintenance of facilities and supplies.</w:t>
      </w:r>
    </w:p>
    <w:p>
      <w:pPr>
        <w:pStyle w:val="TextBody"/>
        <w:bidi w:val="0"/>
        <w:spacing w:lineRule="auto" w:line="285"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expense research and development costs as they are incurred. We expense costs relating to the production of inventory for our product candidates, as research and development expenses within our consolidated statements of operations and comprehensive loss in the period incurred, unless we believe regulatory approval and subsequent commercialization of the product candidate is probable and we expect the future economic benefit from sales of the drug to be realized. Research and development costs that are paid in advance of performance are capitalized as a prepaid expense until incurred. We track outsourced development costs by development program but do not allocate personnel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costs, payments made under license agreements or other costs to specific product candidates or development programs. These costs are included in employee related costs and other research and development costs in the line items in the above table.</w:t>
      </w:r>
    </w:p>
    <w:p>
      <w:pPr>
        <w:pStyle w:val="TextBody"/>
        <w:bidi w:val="0"/>
        <w:spacing w:lineRule="auto" w:line="285"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research and development expenses incurred during the three months ended June 30, 2026 and 2025:</w:t>
      </w:r>
    </w:p>
    <w:tbl>
      <w:tblPr>
        <w:tblW w:w="6505" w:type="dxa"/>
        <w:jc w:val="left"/>
        <w:tblInd w:w="0" w:type="dxa"/>
        <w:tblLayout w:type="fixed"/>
        <w:tblCellMar>
          <w:top w:w="0" w:type="dxa"/>
          <w:left w:w="0" w:type="dxa"/>
          <w:bottom w:w="0" w:type="dxa"/>
          <w:right w:w="0" w:type="dxa"/>
        </w:tblCellMar>
      </w:tblPr>
      <w:tblGrid>
        <w:gridCol w:w="3181"/>
        <w:gridCol w:w="346"/>
        <w:gridCol w:w="211"/>
        <w:gridCol w:w="346"/>
        <w:gridCol w:w="346"/>
        <w:gridCol w:w="211"/>
        <w:gridCol w:w="571"/>
        <w:gridCol w:w="346"/>
        <w:gridCol w:w="211"/>
        <w:gridCol w:w="73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19935" cy="175260"/>
                      <wp:effectExtent l="0" t="0" r="0" b="0"/>
                      <wp:wrapNone/>
                      <wp:docPr id="268" name="Frame268"/>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62585" cy="175260"/>
                      <wp:effectExtent l="0" t="0" r="0" b="0"/>
                      <wp:wrapNone/>
                      <wp:docPr id="274" name="Frame2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67360" cy="175260"/>
                      <wp:effectExtent l="0" t="0" r="0" b="0"/>
                      <wp:wrapNone/>
                      <wp:docPr id="277" name="Frame27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8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center"/>
              <w:rPr/>
            </w:pPr>
            <w:r>
              <w:rPr/>
              <w:t>​</w: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68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left"/>
              <w:rPr/>
            </w:pPr>
            <w:r>
              <w:rPr/>
              <w:t>​</w: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65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68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left"/>
              <w:rPr/>
            </w:pPr>
            <w:r>
              <w:rPr/>
              <w:t>​</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KPI-012 development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(2,510)</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w:t>
              <w:noBreakHyphen/>
              <w:t>related costs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3,453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(3,453)</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6,232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(6,173)</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were $0.1 million for the three months ended June 30, 2026, compared to $6.2 million for the three months ended June 30, 2025, a decrease of $6.2 million. The decrease was primarily driven by a decrease in KPI-012 clinical development costs following our discontinuation of our MSC-S platform and the decrease in personnel and facilities expenses after workforce reductions</w:t>
      </w:r>
      <w:r>
        <w:rPr>
          <w:rFonts w:ascii="Times New Roman;Times;serif" w:hAnsi="Times New Roman;Times;serif"/>
          <w:color w:val="212529"/>
          <w:sz w:val="20"/>
          <w:shd w:fill="FFFFFF" w:val="clea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Loss on fair value remeasurement of contingent consideration</w:t>
      </w:r>
    </w:p>
    <w:p>
      <w:pPr>
        <w:pStyle w:val="TextBody"/>
        <w:pBdr/>
        <w:bidi w:val="0"/>
        <w:spacing w:lineRule="auto" w:line="285" w:before="0" w:after="0"/>
        <w:ind w:left="0" w:right="0" w:firstLine="720"/>
        <w:jc w:val="left"/>
        <w:rPr>
          <w:rFonts w:ascii="Times New Roman;Times;serif" w:hAnsi="Times New Roman;Times;serif"/>
          <w:color w:val="222222"/>
          <w:sz w:val="20"/>
        </w:rPr>
      </w:pPr>
      <w:r>
        <w:rPr>
          <w:rFonts w:ascii="Times New Roman;Times;serif" w:hAnsi="Times New Roman;Times;serif"/>
          <w:color w:val="222222"/>
          <w:sz w:val="20"/>
        </w:rPr>
        <w:t>We recorded an obligation for such contingent consideration at fair value on the acquisition date. We then revalue our contingent consideration obligations each reporting period. Changes in the fair value of our contingent consideration obligations, other than changes due to issuance, are recognized as a gain or loss on fair value remeasurement of contingent consideration in our consolidated statements of operations and comprehensive loss.</w:t>
      </w:r>
    </w:p>
    <w:p>
      <w:pPr>
        <w:pStyle w:val="TextBody"/>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on fair value remeasurement of contingent consideration for the three months ended June 30, 2026 and 2025 was $0 and less than $0.2 million, respectively. The decrease was</w:t>
      </w:r>
      <w:r>
        <w:rPr>
          <w:rFonts w:ascii="Times New Roman;Times;serif" w:hAnsi="Times New Roman;Times;serif"/>
          <w:color w:val="222222"/>
          <w:sz w:val="20"/>
        </w:rPr>
        <w:t xml:space="preserve"> primarily </w:t>
      </w:r>
      <w:r>
        <w:rPr>
          <w:rFonts w:ascii="Times New Roman;Times;serif" w:hAnsi="Times New Roman;Times;serif"/>
          <w:sz w:val="20"/>
        </w:rPr>
        <w:t>due to our decision to cease development of KPI-012 and our MSC-S platform.</w:t>
      </w:r>
    </w:p>
    <w:p>
      <w:pPr>
        <w:pStyle w:val="TextBody"/>
        <w:pBdr/>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Interest income consists of interest earned on our cash, cash equivalents and short-term investments.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Interest income was $0.1 million for the three months ended June 30, 2026 and was $0.4 million for the three months ended June 30, 2025. Interest income consists of interest earned on our cash, cash equivalents and short-term investments</w:t>
      </w:r>
      <w:r>
        <w:rPr>
          <w:rFonts w:ascii="Times New Roman;Times;serif" w:hAnsi="Times New Roman;Times;serif"/>
          <w:sz w:val="20"/>
          <w:shd w:fill="FFFFFF" w:val="clear"/>
        </w:rPr>
        <w:t>.</w:t>
      </w:r>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Interest expense primarily consists of contractual coupon interest, amortization of debt discounts and debt issuance costs and accretion of the final payment fee recognized on our debt arrangements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incurred interest expense of $0 million for the three months ended June 30, 2026 and $1.1 million for the three months ended June 30, 2025. Interest expense for the three months ended June 30, 2025 was comprised of the contractual coupon interest expense, the amortization of the debt discount and the accretion of the final payment fee associated with Loan and Security Agreement, dated as of May 4, 2021, by and among us, Combangio, Inc. and Oxford Finance LLC, as lender and collateral agent (as amended, the “Loan Agreement”)</w:t>
      </w:r>
      <w:r>
        <w:rPr>
          <w:rFonts w:ascii="Times New Roman;Times;serif" w:hAnsi="Times New Roman;Times;serif"/>
          <w:sz w:val="20"/>
          <w:shd w:fill="FFFFFF" w:val="clear"/>
        </w:rPr>
        <w:t>. </w:t>
      </w:r>
      <w:r>
        <w:rPr>
          <w:rFonts w:ascii="Times New Roman;Times;serif" w:hAnsi="Times New Roman;Times;serif"/>
          <w:color w:val="212529"/>
          <w:sz w:val="20"/>
          <w:shd w:fill="FFFFFF" w:val="clear"/>
        </w:rPr>
        <w:t>During the three months ended June 30, 2026 and 2025, $0 and $26.9 million of indebtedness was outstanding under our Loan Agreement.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i/>
          <w:sz w:val="20"/>
        </w:rPr>
      </w:pPr>
      <w:r>
        <w:rPr>
          <w:rFonts w:ascii="Times New Roman;Times;serif" w:hAnsi="Times New Roman;Times;serif"/>
          <w:i/>
          <w:sz w:val="20"/>
        </w:rPr>
        <w:t>Grant income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Grant income for the three months ended June 30, 2026 and 2025 was $0 and $0.5 million, respectively, related to an award agreement with the California Institute for Regenerative Medicine for a $15.0 million grant (as amended from time to time, the “CIRM Award”). O</w:t>
      </w:r>
      <w:r>
        <w:rPr>
          <w:rFonts w:ascii="Times New Roman;Times;serif" w:hAnsi="Times New Roman;Times;serif"/>
          <w:sz w:val="20"/>
          <w:shd w:fill="FFFFFF" w:val="clear"/>
        </w:rPr>
        <w:t>n September 29, 2025, we announced that the CHASE trial of KPI-012 for the treatment of PCED did not meet the primary endpoint of complete healing of PCED as measured by corneal fluorescein staining. The CHASE trial also failed to achieve statistical significance for key secondary efficacy endpoints and did not show any meaningful difference between either KPI-012 treatment arm and the placebo arm. Based on the CHASE trial results, we determined to cease development of KPI-012 and our MSC-S platform, and as such, we do not expect to receive grant income relating to the CIRM Award in the near future.</w:t>
      </w:r>
    </w:p>
    <w:p>
      <w:pPr>
        <w:pStyle w:val="TextBody"/>
        <w:bidi w:val="0"/>
        <w:spacing w:lineRule="auto" w:line="285" w:before="0" w:after="240"/>
        <w:ind w:left="0" w:right="0" w:hanging="0"/>
        <w:jc w:val="left"/>
        <w:rPr>
          <w:rFonts w:ascii="Times New Roman;Times;serif" w:hAnsi="Times New Roman;Times;serif"/>
          <w:b/>
          <w:i/>
          <w:sz w:val="20"/>
        </w:rPr>
      </w:pPr>
      <w:bookmarkStart w:id="1782" w:name="_5815227e_b388_4faf_b26b_fe3f20c2a31c"/>
      <w:bookmarkEnd w:id="1782"/>
      <w:r>
        <w:rPr>
          <w:rFonts w:ascii="Times New Roman;Times;serif" w:hAnsi="Times New Roman;Times;serif"/>
          <w:b/>
          <w:i/>
          <w:sz w:val="20"/>
        </w:rPr>
        <w:t xml:space="preserve">Comparison of the Six Months Ended June 30, 2026 and 2025 </w:t>
      </w:r>
    </w:p>
    <w:p>
      <w:pPr>
        <w:pStyle w:val="TextBody"/>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The following table summarizes the results of our operations for the six months ended June 30, 2026 and 2025:</w:t>
      </w:r>
    </w:p>
    <w:tbl>
      <w:tblPr>
        <w:tblW w:w="9115" w:type="dxa"/>
        <w:jc w:val="left"/>
        <w:tblInd w:w="0" w:type="dxa"/>
        <w:tblLayout w:type="fixed"/>
        <w:tblCellMar>
          <w:top w:w="0" w:type="dxa"/>
          <w:left w:w="0" w:type="dxa"/>
          <w:bottom w:w="0" w:type="dxa"/>
          <w:right w:w="0" w:type="dxa"/>
        </w:tblCellMar>
      </w:tblPr>
      <w:tblGrid>
        <w:gridCol w:w="5116"/>
        <w:gridCol w:w="346"/>
        <w:gridCol w:w="211"/>
        <w:gridCol w:w="691"/>
        <w:gridCol w:w="346"/>
        <w:gridCol w:w="211"/>
        <w:gridCol w:w="796"/>
        <w:gridCol w:w="346"/>
        <w:gridCol w:w="211"/>
        <w:gridCol w:w="841"/>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248660" cy="175260"/>
                      <wp:effectExtent l="0" t="0" r="0" b="0"/>
                      <wp:wrapNone/>
                      <wp:docPr id="278" name="Frame278"/>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38785" cy="175260"/>
                      <wp:effectExtent l="0" t="0" r="0" b="0"/>
                      <wp:wrapNone/>
                      <wp:docPr id="281" name="Frame2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05460" cy="175260"/>
                      <wp:effectExtent l="0" t="0" r="0" b="0"/>
                      <wp:wrapNone/>
                      <wp:docPr id="284" name="Frame2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34035" cy="175260"/>
                      <wp:effectExtent l="0" t="0" r="0" b="0"/>
                      <wp:wrapNone/>
                      <wp:docPr id="287" name="Frame28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center"/>
              <w:rPr/>
            </w:pPr>
            <w:r>
              <w:rPr/>
              <w:t>​</w:t>
            </w:r>
          </w:p>
        </w:tc>
      </w:tr>
      <w:tr>
        <w:trPr/>
        <w:tc>
          <w:tcPr>
            <w:tcW w:w="51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left"/>
              <w:rPr/>
            </w:pPr>
            <w:r>
              <w:rPr/>
              <w:t>​</w:t>
            </w:r>
          </w:p>
        </w:tc>
      </w:tr>
      <w:tr>
        <w:trPr/>
        <w:tc>
          <w:tcPr>
            <w:tcW w:w="51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911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1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left"/>
              <w:rPr/>
            </w:pPr>
            <w:r>
              <w:rPr/>
              <w:t>​</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pPr>
            <w:r>
              <w:rPr/>
              <w:t>​</w:t>
            </w:r>
          </w:p>
        </w:tc>
      </w:tr>
      <w:tr>
        <w:trPr/>
        <w:tc>
          <w:tcPr>
            <w:tcW w:w="5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3,403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9,236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(5,833)</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12,287</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(12,167)</w:t>
            </w:r>
          </w:p>
        </w:tc>
      </w:tr>
      <w:tr>
        <w:trPr/>
        <w:tc>
          <w:tcPr>
            <w:tcW w:w="5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on fair value remeasurement of contingent consideration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3,523</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21,697</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(18,174)</w:t>
            </w:r>
          </w:p>
        </w:tc>
      </w:tr>
      <w:tr>
        <w:trPr/>
        <w:tc>
          <w:tcPr>
            <w:tcW w:w="5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(3,523)</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(21,697)</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18,174</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pPr>
            <w:r>
              <w:rPr/>
              <w:t>  ​</w:t>
            </w:r>
          </w:p>
        </w:tc>
      </w:tr>
      <w:tr>
        <w:trPr/>
        <w:tc>
          <w:tcPr>
            <w:tcW w:w="5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(2,172)</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2,172</w:t>
            </w:r>
          </w:p>
        </w:tc>
      </w:tr>
      <w:tr>
        <w:trPr/>
        <w:tc>
          <w:tcPr>
            <w:tcW w:w="5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2,897</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(2,897)</w:t>
            </w:r>
          </w:p>
        </w:tc>
      </w:tr>
      <w:tr>
        <w:trPr/>
        <w:tc>
          <w:tcPr>
            <w:tcW w:w="5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5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(20,102)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16,900</w:t>
            </w:r>
          </w:p>
        </w:tc>
      </w:tr>
    </w:tbl>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General and administrative expenses were $3.4 million for the six months ended June 30, 2026, comparable to $9.2 million for the six months ended June 30, 2025, which was a decrease of $5.8 million. The decrease in general and administrative expenses for the six months ended June 30, 2026 was primarily due to a $6.3 million decrease in </w:t>
      </w:r>
      <w:r>
        <w:rPr>
          <w:rFonts w:ascii="Times New Roman;Times;serif" w:hAnsi="Times New Roman;Times;serif"/>
          <w:sz w:val="20"/>
          <w:shd w:fill="FFFFFF" w:val="clear"/>
        </w:rPr>
        <w:t>employee-related costs and stock-based compensation, primarily a result of our decision to cease development of KPI-012 and our MSC-S platform, including costs related to restructuring and wind-down activities</w:t>
      </w:r>
      <w:r>
        <w:rPr>
          <w:rFonts w:ascii="Times New Roman;Times;serif" w:hAnsi="Times New Roman;Times;serif"/>
          <w:sz w:val="20"/>
        </w:rPr>
        <w:t xml:space="preserve">, partially offset by a $0.4 million increase in </w:t>
      </w:r>
      <w:r>
        <w:rPr>
          <w:rFonts w:ascii="Times New Roman;Times;serif" w:hAnsi="Times New Roman;Times;serif"/>
          <w:sz w:val="20"/>
          <w:shd w:fill="FFFFFF" w:val="clear"/>
        </w:rPr>
        <w:t>legal and professional services support in connection with those activities</w:t>
      </w:r>
      <w:r>
        <w:rPr>
          <w:rFonts w:ascii="Times New Roman;Times;serif" w:hAnsi="Times New Roman;Times;serif"/>
          <w:sz w:val="20"/>
        </w:rPr>
        <w:t xml:space="preserve">. </w:t>
      </w:r>
    </w:p>
    <w:p>
      <w:pPr>
        <w:pStyle w:val="TextBody"/>
        <w:bidi w:val="0"/>
        <w:spacing w:lineRule="auto" w:line="285" w:before="240" w:after="240"/>
        <w:ind w:left="0" w:right="0" w:hanging="0"/>
        <w:jc w:val="left"/>
        <w:rPr>
          <w:rFonts w:ascii="Times New Roman;Times;serif" w:hAnsi="Times New Roman;Times;serif"/>
          <w:i/>
          <w:sz w:val="20"/>
        </w:rPr>
      </w:pPr>
      <w:r>
        <w:rPr>
          <w:rFonts w:ascii="Times New Roman;Times;serif" w:hAnsi="Times New Roman;Times;serif"/>
          <w:i/>
          <w:sz w:val="20"/>
        </w:rPr>
        <w:t xml:space="preserve">Research and development expenses </w:t>
      </w:r>
    </w:p>
    <w:p>
      <w:pPr>
        <w:pStyle w:val="TextBody"/>
        <w:bidi w:val="0"/>
        <w:spacing w:lineRule="auto" w:line="285"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research and development expenses incurred during the six months ended June 30, 2026 and 2025:</w:t>
      </w:r>
    </w:p>
    <w:tbl>
      <w:tblPr>
        <w:tblW w:w="8890" w:type="dxa"/>
        <w:jc w:val="left"/>
        <w:tblInd w:w="0" w:type="dxa"/>
        <w:tblLayout w:type="fixed"/>
        <w:tblCellMar>
          <w:top w:w="0" w:type="dxa"/>
          <w:left w:w="0" w:type="dxa"/>
          <w:bottom w:w="0" w:type="dxa"/>
          <w:right w:w="0" w:type="dxa"/>
        </w:tblCellMar>
      </w:tblPr>
      <w:tblGrid>
        <w:gridCol w:w="5281"/>
        <w:gridCol w:w="346"/>
        <w:gridCol w:w="211"/>
        <w:gridCol w:w="421"/>
        <w:gridCol w:w="346"/>
        <w:gridCol w:w="211"/>
        <w:gridCol w:w="676"/>
        <w:gridCol w:w="346"/>
        <w:gridCol w:w="211"/>
        <w:gridCol w:w="841"/>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353435" cy="175260"/>
                      <wp:effectExtent l="0" t="0" r="0" b="0"/>
                      <wp:wrapNone/>
                      <wp:docPr id="288" name="Frame288"/>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67335" cy="175260"/>
                      <wp:effectExtent l="0" t="0" r="0" b="0"/>
                      <wp:wrapNone/>
                      <wp:docPr id="291" name="Frame29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29260" cy="175260"/>
                      <wp:effectExtent l="0" t="0" r="0" b="0"/>
                      <wp:wrapNone/>
                      <wp:docPr id="294" name="Frame2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34035" cy="175260"/>
                      <wp:effectExtent l="0" t="0" r="0" b="0"/>
                      <wp:wrapNone/>
                      <wp:docPr id="297" name="Frame29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6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center"/>
              <w:rPr/>
            </w:pPr>
            <w:r>
              <w:rPr/>
              <w:t>​</w:t>
            </w:r>
          </w:p>
        </w:tc>
      </w:tr>
      <w:tr>
        <w:trPr/>
        <w:tc>
          <w:tcPr>
            <w:tcW w:w="5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86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left"/>
              <w:rPr/>
            </w:pPr>
            <w:r>
              <w:rPr/>
              <w:t>​</w:t>
            </w:r>
          </w:p>
        </w:tc>
      </w:tr>
      <w:tr>
        <w:trPr/>
        <w:tc>
          <w:tcPr>
            <w:tcW w:w="5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889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86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left"/>
              <w:rPr/>
            </w:pPr>
            <w:r>
              <w:rPr/>
              <w:t>​</w:t>
            </w:r>
          </w:p>
        </w:tc>
      </w:tr>
      <w:tr>
        <w:trPr/>
        <w:tc>
          <w:tcPr>
            <w:tcW w:w="5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KPI-012 development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(5,317)</w:t>
            </w:r>
          </w:p>
        </w:tc>
      </w:tr>
      <w:tr>
        <w:trPr/>
        <w:tc>
          <w:tcPr>
            <w:tcW w:w="5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w:t>
              <w:noBreakHyphen/>
              <w:t>related costs for research and development personnel</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(6,324)</w:t>
            </w:r>
          </w:p>
        </w:tc>
      </w:tr>
      <w:tr>
        <w:trPr/>
        <w:tc>
          <w:tcPr>
            <w:tcW w:w="5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5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12,287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(12,167)</w:t>
            </w:r>
          </w:p>
        </w:tc>
      </w:tr>
      <w:tr>
        <w:trPr/>
        <w:tc>
          <w:tcPr>
            <w:tcW w:w="5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were $0.1 million for the six months ended June 30, 2026, compared to $12.3 million for the six months ended June 30, 2025, which was a decrease of $12.2 million. The decrease was primarily driven by a decrease in KPI-012 clinical development costs following our discontinuation of our MSC-S platform and the decrease in personnel and facilities expenses after workforce reductions.</w:t>
      </w:r>
    </w:p>
    <w:p>
      <w:pPr>
        <w:pStyle w:val="TextBody"/>
        <w:pBdr/>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Loss on fair value remeasurement of contingent consideration</w:t>
      </w:r>
    </w:p>
    <w:p>
      <w:pPr>
        <w:pStyle w:val="TextBody"/>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on fair value remeasurement of contingent consideration for the six months ended June 30, 2026 and 2025 was $0 and $0.2 million, respectively. The decrease was</w:t>
      </w:r>
      <w:r>
        <w:rPr>
          <w:rFonts w:ascii="Times New Roman;Times;serif" w:hAnsi="Times New Roman;Times;serif"/>
          <w:color w:val="222222"/>
          <w:sz w:val="20"/>
        </w:rPr>
        <w:t xml:space="preserve"> primarily </w:t>
      </w:r>
      <w:r>
        <w:rPr>
          <w:rFonts w:ascii="Times New Roman;Times;serif" w:hAnsi="Times New Roman;Times;serif"/>
          <w:sz w:val="20"/>
        </w:rPr>
        <w:t>due to our decision to cease development of KPI-012 and our MSC-S platform</w:t>
      </w:r>
      <w:r>
        <w:rPr>
          <w:rFonts w:ascii="Times New Roman;Times;serif" w:hAnsi="Times New Roman;Times;serif"/>
          <w:color w:val="222222"/>
          <w:sz w:val="20"/>
        </w:rPr>
        <w:t>.</w:t>
      </w:r>
      <w:r>
        <w:rPr>
          <w:rFonts w:ascii="Times New Roman;Times;serif" w:hAnsi="Times New Roman;Times;serif"/>
          <w:sz w:val="20"/>
        </w:rPr>
        <w:t xml:space="preserve"> </w:t>
      </w:r>
    </w:p>
    <w:p>
      <w:pPr>
        <w:pStyle w:val="TextBody"/>
        <w:shd w:fill="FFFFFF" w:val="clear"/>
        <w:bidi w:val="0"/>
        <w:spacing w:lineRule="auto" w:line="285" w:before="0" w:after="0"/>
        <w:ind w:left="0" w:right="0" w:hanging="0"/>
        <w:jc w:val="left"/>
        <w:rPr/>
      </w:pPr>
      <w:r>
        <w:rPr/>
        <w:t>​</w:t>
      </w:r>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Interest income was $0.2 million for the six months ended June 30, 2026 and was $0.9 million for the six months ended June 30, 2025. Interest income consists of interest earned on our cash, cash equivalents and short-term investments</w:t>
      </w:r>
      <w:r>
        <w:rPr>
          <w:rFonts w:ascii="Times New Roman;Times;serif" w:hAnsi="Times New Roman;Times;serif"/>
          <w:sz w:val="20"/>
          <w:shd w:fill="FFFFFF" w:val="clear"/>
        </w:rPr>
        <w:t>.</w:t>
      </w:r>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incurred interest expense of $0 for the six months ended June 30, 2026 and $2.2 million for the six months ended June 30, 2025. Interest expense for the six months ended June 30, 2025 was comprised of the contractual coupon interest expense, the amortization of the debt discount and the accretion of the final payment fee associated with our Loan Agreement with Oxford Finance. </w:t>
      </w:r>
      <w:r>
        <w:rPr>
          <w:rFonts w:ascii="Times New Roman;Times;serif" w:hAnsi="Times New Roman;Times;serif"/>
          <w:sz w:val="20"/>
          <w:shd w:fill="FFFFFF" w:val="clear"/>
        </w:rPr>
        <w:t>During the six months ended June 30, 2025, $29.3 million of indebtedness was outstanding under our Loan Agreement until $2.3 million was repaid on June 26, 2025 resulting in an outstanding indebtedness of $26.9 million as of June 30, 2025.</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Grant income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Grant income for the six months ended June 30, 2026 and 2025 was $0 and $2.9 million, respectively, related to an award agreement with the California Institute for Regenerative Medicine for a $15.0 million grant (as amended from time to time, the “CIRM Award”). O</w:t>
      </w:r>
      <w:r>
        <w:rPr>
          <w:rFonts w:ascii="Times New Roman;Times;serif" w:hAnsi="Times New Roman;Times;serif"/>
          <w:sz w:val="20"/>
          <w:shd w:fill="FFFFFF" w:val="clear"/>
        </w:rPr>
        <w:t>n September 29, 2025, we announced that the CHASE trial of KPI-012 for the treatment of PCED did not meet the primary endpoint of complete healing of PCED as measured by corneal fluorescein staining. The CHASE trial also failed to achieve statistical significance for key secondary efficacy endpoints and did not show any meaningful difference between either KPI-012 treatment arm and the placebo arm. Based on the CHASE trial results, we determined to cease development of KPI-012 and our MSC-S platform, and as such, we do not expect to receive grant income relating to the CIRM Award in the near future</w:t>
      </w:r>
      <w:r>
        <w:rPr>
          <w:rFonts w:ascii="Times New Roman;Times;serif" w:hAnsi="Times New Roman;Times;serif"/>
          <w:sz w:val="20"/>
        </w:rPr>
        <w:t>.</w:t>
      </w:r>
    </w:p>
    <w:p>
      <w:pPr>
        <w:pStyle w:val="TextBody"/>
        <w:bidi w:val="0"/>
        <w:spacing w:lineRule="auto" w:line="285" w:before="0" w:after="240"/>
        <w:ind w:left="0" w:right="0" w:hanging="0"/>
        <w:jc w:val="both"/>
        <w:rPr>
          <w:rFonts w:ascii="Times New Roman;Times;serif" w:hAnsi="Times New Roman;Times;serif"/>
          <w:i/>
          <w:sz w:val="20"/>
        </w:rPr>
      </w:pPr>
      <w:r>
        <w:rPr>
          <w:rFonts w:ascii="Times New Roman;Times;serif" w:hAnsi="Times New Roman;Times;serif"/>
          <w:i/>
          <w:sz w:val="20"/>
        </w:rPr>
        <w:t>Other expense, net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Other expense, net for the six months ended June 30, 2026 was a $0.1 million as compared to $0 for the six months ended June 30, 2025. Other expense, net for the six months ended June 30, 2026 was related to a write-off of receivables we determined to be uncollectible.</w:t>
      </w:r>
    </w:p>
    <w:p>
      <w:pPr>
        <w:pStyle w:val="TextBody"/>
        <w:bidi w:val="0"/>
        <w:spacing w:lineRule="auto" w:line="285" w:before="0" w:after="240"/>
        <w:ind w:left="0" w:right="0" w:hanging="0"/>
        <w:jc w:val="left"/>
        <w:rPr>
          <w:rFonts w:ascii="Times New Roman;Times;serif" w:hAnsi="Times New Roman;Times;serif"/>
          <w:b/>
          <w:sz w:val="20"/>
        </w:rPr>
      </w:pPr>
      <w:bookmarkStart w:id="1783" w:name="_db966775_1f6a_4ebf_ada6_17819daf3216"/>
      <w:bookmarkEnd w:id="1783"/>
      <w:r>
        <w:rPr>
          <w:rFonts w:ascii="Times New Roman;Times;serif" w:hAnsi="Times New Roman;Times;serif"/>
          <w:b/>
          <w:sz w:val="20"/>
        </w:rPr>
        <w:t>Liquidity and Capital Resources</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Since our inception, we have incurred significant operating losses. We only generated limited revenues from product sales of EYSUVIS and INVELTYS prior to the sale of our Commercial Business to Alcon in July 2022. We have financed our operations primarily through proceeds from the sale of our Commercial Business to Alcon in July 2022, our IPO, follow-on public common stock offerings and sales of our common stock under our at-the-market equity offerings, private placements of common stock and/or preferred stock, borrowings under credit facilities and Loan Agreement, and warrants.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the date of this quarterly report, we had cash and cash equivalents of less than $0.1 million. In addition, the outstanding principal amount of the Note with </w:t>
      </w:r>
      <w:r>
        <w:rPr>
          <w:rFonts w:ascii="Times New Roman;Times;serif" w:hAnsi="Times New Roman;Times;serif"/>
          <w:sz w:val="20"/>
        </w:rPr>
        <w:t xml:space="preserve">Minglemint Solutions LLC (“Minglemint” or “Borrower”) </w:t>
      </w:r>
      <w:r>
        <w:rPr>
          <w:rFonts w:ascii="Times New Roman;Times;serif" w:hAnsi="Times New Roman;Times;serif"/>
          <w:sz w:val="20"/>
          <w:shd w:fill="FFFFFF" w:val="clear"/>
        </w:rPr>
        <w:t xml:space="preserve">was $7.0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million, and accrued and unpaid interest thereon was approximately $0.2 million, for an aggregate outstanding balance of approximately $7.2 million. On July 21, 2026, the Borrower repaid $44,000 under the Note. Pursuant to the Note amendment, we are entitled, at any time and from time to time, to demand repayment of all or any portion of the outstanding principal amount of the Note, together with accrued and unpaid interest thereon, upon no less than 45 days’ notice. We view our cash and cash equivalents, together with amounts collectible under the Note, as our principal sources of near-term liquidity.</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manage our capital resources first to fund the continued operation and development of our business, as described under “Business and Operations Update” above, within a disciplined operating budget. Secondarily, we seek to preserve financial flexibility to pursue attractive growth opportunities, including potential acquisitions. Over the past several months, we have evaluated and discussed several such opportunities, and the most attractive of them typically require cash availability at or after closing to fund the operations and growth of the acquired or combined business, a consideration we take into account in our spending decisions, including capacity to provide interim or bridge financing if a transaction is pursued. We have not entered into any definitive agreement with respect to any such transaction, and there can be no assurance that we will pursue or consummate any transaction. Consistent with these objectives, during the second quarter of 2026 and through the date of this Quarterly Report on Form 10-Q, we have taken the following measures:</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shd w:fill="FFFFFF" w:val="clear"/>
              </w:rPr>
              <w:t xml:space="preserve">Disciplined operating budget - </w:t>
            </w:r>
            <w:r>
              <w:rPr>
                <w:rFonts w:ascii="Times New Roman;Times;serif" w:hAnsi="Times New Roman;Times;serif"/>
                <w:b w:val="false"/>
                <w:i w:val="false"/>
                <w:caps w:val="false"/>
                <w:smallCaps w:val="false"/>
                <w:sz w:val="20"/>
                <w:shd w:fill="FFFFFF" w:val="clear"/>
              </w:rPr>
              <w:t>We have adopted an operating budget of approximately $1.5 million to $3.2 million for the twelve months following the date of this Quarterly Report, primarily covering legal, audit and compliance costs, with the remainder allocated to investor relations, consulting, accounts payable, and management. Our budget also provides for the continued maintenance and protection of our intellectual property portfolio and the continued operation of the Researgency Platform, as described under “Business and Operations Update” below. We closely monitor our monthly cash operating costs and adjust discretionary spending as circumstances require. Net cash used in operating activities decreased to $4.4 million for the six months ended June 30, 2026, from $16.6 million for the six months ended June 30, 2025</w:t>
            </w:r>
            <w:r>
              <w:rPr>
                <w:rFonts w:ascii="Helvetica;sans-serif" w:hAnsi="Helvetica;sans-serif"/>
                <w:b w:val="false"/>
                <w:i w:val="false"/>
                <w:caps w:val="false"/>
                <w:smallCaps w:val="false"/>
                <w:sz w:val="22"/>
              </w:rPr>
              <w:t>.</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shd w:fill="FFFFFF" w:val="clear"/>
              </w:rPr>
              <w:t>Drawing on the Note in measured tranches -</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On August 14, 2026, we delivered a Call Notice to the Borrower demanding repayment of approximately $1.0 million of the outstanding principal amount of the Note, together with accrued and unpaid interest thereon. Under the terms of the Note, the Borrower is required to repay the amount specified in the Call Notice within 45 days, and we expect to receive it by September 28, 2026. We intend to apply these proceeds to existing accounts payable and to fund some of the budgeted operating costs. We have sized the Call Notice to our near-term operating requirements and intend to preserve the remaining balance of the Note as a continuing source of funding for our operations and, secondarily, for potential growth opportunities, retaining the right to demand repayment of all or any portion of the balance on no less than 45 days’ notice, and we expect to deliver additional Call Notices from time to time as our operating needs require.</w:t>
            </w:r>
          </w:p>
        </w:tc>
      </w:tr>
    </w:tbl>
    <w:p>
      <w:pPr>
        <w:pStyle w:val="TextBody"/>
        <w:pBdr/>
        <w:bidi w:val="0"/>
        <w:spacing w:lineRule="auto" w:line="328" w:before="0" w:after="0"/>
        <w:ind w:left="0" w:right="0" w:firstLine="504"/>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Based on our current operating plan and the operating budget described above, we believe our existing cash and cash equivalents, together with amounts demanded under the Call Notice and additional expected collections under the Note, will be sufficient to fund our operating expenses and capital expenditure requirements through the third quarter of 2027. We are also evaluating additional financing alternatives, including potential sales under our ATM program (as defined below), private placements, and asset monetization opportunities. If these actions are unsuccessful or not timely, we will need to further reduce or defer planned expenditures, which could materially affect our strategy. </w:t>
      </w:r>
    </w:p>
    <w:p>
      <w:pPr>
        <w:pStyle w:val="TextBody"/>
        <w:shd w:fill="FFFFFF" w:val="clear"/>
        <w:bidi w:val="0"/>
        <w:spacing w:lineRule="auto" w:line="285" w:before="80" w:after="240"/>
        <w:ind w:left="0" w:right="0" w:hanging="0"/>
        <w:jc w:val="left"/>
        <w:rPr>
          <w:rFonts w:ascii="Times New Roman;Times;serif" w:hAnsi="Times New Roman;Times;serif"/>
          <w:i/>
          <w:sz w:val="20"/>
        </w:rPr>
      </w:pPr>
      <w:r>
        <w:rPr>
          <w:rFonts w:ascii="Times New Roman;Times;serif" w:hAnsi="Times New Roman;Times;serif"/>
          <w:i/>
          <w:sz w:val="20"/>
        </w:rPr>
        <w:t>Nasdaq Deficiencies</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On November 10, 2025, we received a deficiency letter (the “MVLS Letter”) from the Listing Qualifications Department (the “Staff”) of the Nasdaq Stock Market notifying us that the listing of our Common Stock was not in compliance with Nasdaq Listing Rule 5550(b)(2) (the “Minimum MVLS Requirement”) for continued listing on Nasdaq, as the market value of our listed securities was less than $35 million for the previous 30 consecutive business days.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Nasdaq Listing Rule 5810(c)(3)(C), we were provided a period of 180 calendar days, or until May 11, 2026 (the “MVLS Compliance Date”), to regain compliance with the Minimum MVLS Requirement. </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On April 17, 2026, we received a letter from the Staff that the market value of our listed securities closed at $35 million or more for a minimum of 10 consecutive business days. Accordingly, we have regained compliance with the Minimum MVLS Requirement and this matter is now closed.</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In addition, on January 20, 2026, we received a letter from the Staff indicating that, based upon the closing bid price of the Company’s Common Stock for the 30 consecutive business days between December 3, 2025, to January 16, 2026, the Company did not meet the minimum bid price of $1.00 per share required for continued listing on Nasdaq pursuant to Nasdaq Listing Rule 5550(a)(2) (the “Minimum Bid Price Rule”). The letter also indicated that we will be provided with a compliance period of 180 calendar days, or until July 20, 2026 (the “Minimum Bid Price Compliance Period”), in which to regain compliance pursuant to Nasdaq Listing Rule 5810(c)(3)(A). On May 8, 2026, we effected the Reverse Stock Split to seek to regain compliance with the Minimum Bid Price Rule. On June 11, 2026, Nasdaq notified us that we had regained compliance with the Minimum Bid Price Rule after the closing bid price of our Common Stock had been at or greater than $1.00 per share for the last 10 consecutive business days, from May 28, 2026, to June 10, 2026.</w:t>
      </w:r>
    </w:p>
    <w:p>
      <w:pPr>
        <w:pStyle w:val="TextBody"/>
        <w:bidi w:val="0"/>
        <w:spacing w:lineRule="auto" w:line="285" w:before="240" w:after="0"/>
        <w:ind w:left="0" w:right="0" w:hanging="0"/>
        <w:jc w:val="both"/>
        <w:rPr>
          <w:rFonts w:ascii="Times New Roman;Times;serif" w:hAnsi="Times New Roman;Times;serif"/>
          <w:i/>
          <w:sz w:val="20"/>
        </w:rPr>
      </w:pPr>
      <w:r>
        <w:rPr>
          <w:rFonts w:ascii="Times New Roman;Times;serif" w:hAnsi="Times New Roman;Times;serif"/>
          <w:i/>
          <w:sz w:val="20"/>
        </w:rPr>
        <w:t xml:space="preserve">ATM Facility </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On January 8, 2026, we entered into an At The Market Offering Agreement (the “ATM Agreement”) with Wainwright providing for the sale and issuance of our Common Stock from time to time, through or to Wainwright as the Company’s sales agent or principal in an “at the market offering” program and as set forth in the ATM Agreement (the “ATM program”).</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We filed a prospectus supplement, dated January 8, 2026, including an accompanying base prospectus, dated May 11, 2023, contained therein (the “ATM Prospectus Supplement”), which together form a part of the Company’s shelf registration statement on Form S-3, as amended (File No. 333-270263), initially filed with the SEC on March 3, 2023 and declared effective by the SEC on May 11, 2023 in connection with the offer and sale of shares of Common Stock pursuant to the ATM Agreement.</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On May 7, 2026, we filed a new registration statement on Form S-3 (File No. 333-295667), as amended, which was declared effective on June 25, 2026. Subsequent to quarter end, on July 22, 2026, we filed an additional prospectus supplement in connection with the ATM Program. See “Note 11 – Registered Offerings” and “Note 17 - Subsequent Events” above for additional information</w:t>
      </w:r>
    </w:p>
    <w:p>
      <w:pPr>
        <w:pStyle w:val="TextBody"/>
        <w:pBdr/>
        <w:bidi w:val="0"/>
        <w:spacing w:lineRule="auto" w:line="300" w:before="240" w:after="0"/>
        <w:ind w:left="0" w:right="0" w:firstLine="720"/>
        <w:jc w:val="left"/>
        <w:rPr>
          <w:rFonts w:ascii="Times New Roman;Times;serif" w:hAnsi="Times New Roman;Times;serif"/>
          <w:sz w:val="20"/>
        </w:rPr>
      </w:pPr>
      <w:r>
        <w:rPr>
          <w:rFonts w:ascii="Times New Roman;Times;serif" w:hAnsi="Times New Roman;Times;serif"/>
          <w:sz w:val="20"/>
        </w:rPr>
        <w:t>Pursuant to the terms of the ATM Agreement, Wainwright agreed to use its commercially reasonable efforts, consistent with applicable state and federal law, rules and regulations, and the rules of the Nasdaq Capital Market, to sell the shares of Common Stock from time to time. Under the ATM Agreement, the Company may designate the parameters for the sale of shares of Common Stock, including the number of shares to be issued, the time period during which sales are requested to be made, limitations on the number of shares that may be sold on any trading day and any minimum price below which sales may not be made. Subject to the terms and conditions of the ATM Agreement, Wainwright may sell the shares by methods deemed to be an “at the market offering” as defined in Rule 415(a)(4) promulgated under the Securities Act, including without limitation, sales made directly on Nasdaq or on any other existing trading market for the Common Stock or to or through a market maker. In addition, with the Company’s prior written approval, Wainwright may also sell shares in privately negotiated transactions or block transactions. The gross sales price of the shares of Common Stock sold by Wainwright under the ATM Agreement as sales agent is the market price for the shares of Common Stock on Nasdaq at the time of sale.</w:t>
      </w:r>
    </w:p>
    <w:p>
      <w:pPr>
        <w:pStyle w:val="TextBody"/>
        <w:shd w:fill="FFFFFF" w:val="clear"/>
        <w:bidi w:val="0"/>
        <w:spacing w:lineRule="auto" w:line="285" w:before="120" w:after="240"/>
        <w:ind w:left="0" w:right="0" w:hanging="0"/>
        <w:jc w:val="left"/>
        <w:rPr>
          <w:rFonts w:ascii="Times New Roman;Times;serif" w:hAnsi="Times New Roman;Times;serif"/>
          <w:i/>
          <w:sz w:val="20"/>
        </w:rPr>
      </w:pPr>
      <w:r>
        <w:rPr>
          <w:rFonts w:ascii="Times New Roman;Times;serif" w:hAnsi="Times New Roman;Times;serif"/>
          <w:i/>
          <w:sz w:val="20"/>
        </w:rPr>
        <w:t xml:space="preserve">Private Placements </w:t>
      </w:r>
    </w:p>
    <w:p>
      <w:pPr>
        <w:pStyle w:val="TextBody"/>
        <w:bidi w:val="0"/>
        <w:spacing w:lineRule="auto" w:line="285" w:before="0" w:after="0"/>
        <w:ind w:left="0" w:right="0" w:firstLine="720"/>
        <w:jc w:val="left"/>
        <w:rPr>
          <w:rFonts w:ascii="Times New Roman;Times;serif" w:hAnsi="Times New Roman;Times;serif"/>
          <w:b w:val="false"/>
          <w:sz w:val="20"/>
        </w:rPr>
      </w:pPr>
      <w:r>
        <w:rPr>
          <w:rFonts w:ascii="Times New Roman;Times;serif" w:hAnsi="Times New Roman;Times;serif"/>
          <w:b w:val="false"/>
          <w:sz w:val="20"/>
        </w:rPr>
        <w:t xml:space="preserve">On November 25, 2025, the Company entered into a Securities Purchase Agreement (the “November 2025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b w:val="false"/>
          <w:sz w:val="20"/>
        </w:rPr>
      </w:pPr>
      <w:r>
        <w:rPr>
          <w:rFonts w:ascii="Times New Roman;Times;serif" w:hAnsi="Times New Roman;Times;serif"/>
          <w:b w:val="false"/>
          <w:sz w:val="20"/>
        </w:rPr>
        <w:t>Purchase Agreement”), with a certain investor (the “Series AA Investor”), pursuant to which the Company agreed to issue and sell, in a private placement, shares of the Company’s Series AA Convertible Non-Redeemable Preferred Stock (“Series AA Preferred Stock”) and the Series AAA Convertible Non-Redeemable Preferred Stock (“Series AAA Preferred Stock”) of the Company in two closings for aggregate gross proceeds of up to $6.0 million.</w:t>
      </w:r>
    </w:p>
    <w:p>
      <w:pPr>
        <w:pStyle w:val="TextBody"/>
        <w:bidi w:val="0"/>
        <w:spacing w:lineRule="auto" w:line="285" w:before="0" w:after="160"/>
        <w:ind w:left="0" w:right="0" w:firstLine="720"/>
        <w:jc w:val="left"/>
        <w:rPr>
          <w:rFonts w:ascii="Times New Roman;Times;serif" w:hAnsi="Times New Roman;Times;serif"/>
          <w:b w:val="false"/>
          <w:sz w:val="20"/>
        </w:rPr>
      </w:pPr>
      <w:r>
        <w:rPr>
          <w:rFonts w:ascii="Times New Roman;Times;serif" w:hAnsi="Times New Roman;Times;serif"/>
          <w:b w:val="false"/>
          <w:sz w:val="20"/>
        </w:rPr>
        <w:t xml:space="preserve">On December 11, 2025, the Series AA Investor transferred his rights and obligations under the November 2025 Purchase Agreement solely with respect to the shares of Series AAA Preferred Stock and the director nomination rights to AK Holdings Group Inc., a Panamanian company (“AK Holdings”). On January 29, 2026, pursuant to the terms of a certain Rights Purchase Agreement, by and among AK Holdings and the Series AAA Investors, AK Holdings sold its rights to purchase the Series AAA Preferred Stock (but not its director nomination rights under the November 2025 Purchase Agreement) to the Series AAA Investors. </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On January 30, 2026, we entered into a Securities Purchase Agreement (the “January 2026 Purchase Agreement”), pursuant to which we issued and sold to the Series AAA Investors in a private placement (the “January 2026 Private Placement”), an aggregate of 2,100,000 shares of Series AAA Preferred Stock at a price per share equal to $2.00, for aggregate gross proceeds of $4.2 million. The closing of the January 2026 Private Placement occurred on January 30, 2026. Each share of Series AAA Preferred Stock was convertible into 8.4 shares of Common Stock for an aggregate total of 17,640,000 shares of Common Stock issuable upon conversion of the Series AAA Preferred Stock. As of June 30, 2026, all of the shares of Series AA and AAA Preferred Stock have been converted into shares of Common Stock and there are no Preferred Shares outstanding.</w:t>
      </w:r>
    </w:p>
    <w:p>
      <w:pPr>
        <w:pStyle w:val="TextBody"/>
        <w:bidi w:val="0"/>
        <w:spacing w:lineRule="auto" w:line="285" w:before="240" w:after="240"/>
        <w:ind w:left="0" w:right="0" w:hanging="0"/>
        <w:jc w:val="left"/>
        <w:rPr>
          <w:rFonts w:ascii="Times New Roman;Times;serif" w:hAnsi="Times New Roman;Times;serif"/>
          <w:i/>
          <w:sz w:val="20"/>
        </w:rPr>
      </w:pPr>
      <w:r>
        <w:rPr>
          <w:rFonts w:ascii="Times New Roman;Times;serif" w:hAnsi="Times New Roman;Times;serif"/>
          <w:i/>
          <w:sz w:val="20"/>
        </w:rPr>
        <w:t>Loan and Security Agreement</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 xml:space="preserve">On February 9, 2026, we made a loan (the “Loan”) in the principal amount of $7.0 million evidenced by a secured promissory note (the “Note”) to Minglemint Solutions LLC (“Borrower”) in connection with our determination that a portion of our cash on hand was in excess of our near-term working capital requirements and operational needs. In order to optimize the return on such excess cash, rather than holding the full balance in a bank deposit account, which offered a materially lower yield, we elected to deploy that portion into the Loan, which bears interest at a rate of 8.0% per annum and is due and payable on February 9, 2027. </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 xml:space="preserve">The Note includes customary event of default provisions, including, but not limited to, for a breach of any representations and warranties or covenants, any bankruptcy or insolvency proceedings of the Borrower, and the failure of the Borrower to pay, upon 15 days’ written notice of default, any principal amount of the Loan or interest due. The Note provides for a default interest rate of 13.0%. </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Additionally, the Note is secured by a continuing first priority lien and security interest in all fixtures and personal property of the Borrower (the “Collateral”), pursuant to the security agreement with the Borrower dated February 9, 2026 (the “Security Agreement”). The Collateral includes, but is not limited to, all accounts, goods, documents, instruments, securities and investment properties, money, accounts and rights to payment of the Borrower, and any proceeds, records and obligations relating to the foregoing, as more fully detailed in the Security Agreement.</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On May 11, 2026, the Company and the Borrower entered into a Note Amending Agreement (the “Loan Amendment”) which added a provision that the Company has the right at any time and from time to time, on no less than 45 days’ notice to demand repayment of all or any portion of the outstanding principal amount of the Loan, including all accrued and unpaid interest thereon and any other amounts owing under the Note by delivering written notice to the Borrower (a “Call Notice”). The Borrower agrees to repay the amount in the Call Notice, and any amount not timely repaid will accrue interest at the default interest rate of 13.0%.</w:t>
      </w:r>
    </w:p>
    <w:p>
      <w:pPr>
        <w:pStyle w:val="TextBody"/>
        <w:bidi w:val="0"/>
        <w:spacing w:lineRule="auto" w:line="300" w:before="240" w:after="120"/>
        <w:ind w:left="0" w:right="0" w:hanging="0"/>
        <w:jc w:val="both"/>
        <w:rPr>
          <w:rFonts w:ascii="Times New Roman;Times;serif" w:hAnsi="Times New Roman;Times;serif"/>
          <w:i/>
          <w:sz w:val="20"/>
        </w:rPr>
      </w:pPr>
      <w:r>
        <w:rPr>
          <w:rFonts w:ascii="Times New Roman;Times;serif" w:hAnsi="Times New Roman;Times;serif"/>
          <w:i/>
          <w:sz w:val="20"/>
        </w:rPr>
        <w:t>Platform Development and Exclusive License Agreement</w:t>
      </w:r>
    </w:p>
    <w:p>
      <w:pPr>
        <w:pStyle w:val="TextBody"/>
        <w:bidi w:val="0"/>
        <w:spacing w:lineRule="auto" w:line="300"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On March 3, 2026, we entered into a Platform Development and Exclusive License Agreement (the “Younet License Agreement”) pursuant to which we obtained a worldwide exclusive license of Younet’s Researgency Platform, together with associated trademarks and intellectual property. The term of the Younet License Agreement is for 12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0" w:before="0" w:after="120"/>
        <w:ind w:left="0" w:right="0" w:hanging="0"/>
        <w:jc w:val="left"/>
        <w:rPr>
          <w:rFonts w:ascii="Times New Roman;Times;serif" w:hAnsi="Times New Roman;Times;serif"/>
          <w:sz w:val="20"/>
        </w:rPr>
      </w:pPr>
      <w:r>
        <w:rPr>
          <w:rFonts w:ascii="Times New Roman;Times;serif" w:hAnsi="Times New Roman;Times;serif"/>
          <w:sz w:val="20"/>
        </w:rPr>
        <w:t>months following the Effective Date (the “Initial Term”), with the option to renew the agreement for successive 12 months terms (each, a “Renewal Term”), in each case by providing notice to Younet pursuant to the terms of the Agreement (the “Extension Notice”). Pursuant to the Agreement, Younet agreed to provide us certain deliverables and services related to the Researgency Platform, with certain additional deliverables to be provided by Younet in the event of a Renewal Term, in each case with all operating costs relating to the Researgency Platform to be paid by us.</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In consideration of the services to be performed by Younet under the Agreement, we agreed to pay to Younet for the Initial Term a cash fee of up to $530,000 consisting of (i) $80,000 in cash, which was paid by the Company on the Effective Date, and (ii) in the event the Company delivers to Younet a written notice electing to engage Younet for the continued development of Researgency, $450,000 in cash, payable in 9 monthly installments of $50,000, pursuant to the terms of the Agreement. Such notice may be provided at any time on or after the first business day of the third month following the Effective Date and such continued development may be terminated upon 30 days notice by us. In addition, we issued to Younet 100,000 shares of our Common Stock. In addition, each time the Agreement is extended for a Renewal Term, the Company shall (i) pay to Younet $250,000 in cash and (ii) issue to Younet 100,000 shares of Common Stock within 10 business days of the Extension Notice. Any shares of Common Stock issuable to Younet pursuant to the Agreement shall herein be referred to as the “Younet Shares.” Except for certain block trades, during the Term (as defined in the Agreement) and for the twelve months thereafter, Younet shall not sell any Younet Shares on any Trading Day (as defined in the Agreement) in an amount that exceeds 3% of the Daily Trading Volume (as defined in the Agreement) for such Trading Day.</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In addition, Younet has granted us an irrevocable option, exercisable at any time during the Initial Term or any Renewal Terms, to acquire all of the issued and outstanding equity interests of Younet, or, at our election, substantially all of the assets of Younet, for a total purchase price of $55.0 million, subject to the terms of the Agreement.</w:t>
      </w:r>
    </w:p>
    <w:p>
      <w:pPr>
        <w:pStyle w:val="TextBody"/>
        <w:bidi w:val="0"/>
        <w:spacing w:lineRule="auto" w:line="300" w:before="240" w:after="120"/>
        <w:ind w:left="0" w:right="0" w:firstLine="720"/>
        <w:jc w:val="left"/>
        <w:rPr>
          <w:rFonts w:ascii="Times New Roman;Times;serif" w:hAnsi="Times New Roman;Times;serif"/>
          <w:sz w:val="20"/>
        </w:rPr>
      </w:pPr>
      <w:r>
        <w:rPr>
          <w:rFonts w:ascii="Times New Roman;Times;serif" w:hAnsi="Times New Roman;Times;serif"/>
          <w:sz w:val="20"/>
        </w:rPr>
        <w:t>If we do not deliver an Extension Notice prior to the expiration of the Initial Term or any Renewal Term, the Agreement shall expire automatically at the end of the applicable term. In addition, the Agreement may be terminated by either party (i) for uncured material breach or (ii) due to the insolvency of the other party. Upon termination or expiration, (a) the Exclusive License will terminated, (b) all licenses granted to Younet with respect to KALA Data (as defined in the Agreement) will immediately terminate, (c) all licenses granted to us with respect to Younet Background IP (as defined in the Agreement) will survive in accordance with their terms, and (d) all Work Product (as defined in the Agreement) completed as of the date of termination shall be delivered to and owned by the Company.</w:t>
      </w:r>
    </w:p>
    <w:p>
      <w:pPr>
        <w:pStyle w:val="TextBody"/>
        <w:bidi w:val="0"/>
        <w:spacing w:lineRule="auto" w:line="328" w:before="0" w:after="160"/>
        <w:ind w:left="0" w:right="0" w:firstLine="720"/>
        <w:jc w:val="left"/>
        <w:rPr>
          <w:rFonts w:ascii="Times New Roman;Times;serif" w:hAnsi="Times New Roman;Times;serif"/>
          <w:sz w:val="20"/>
        </w:rPr>
      </w:pPr>
      <w:r>
        <w:rPr>
          <w:rFonts w:ascii="Times New Roman;Times;serif" w:hAnsi="Times New Roman;Times;serif"/>
          <w:sz w:val="20"/>
        </w:rPr>
        <w:t>We are working with Younet and our scientific advisors on a commercial plan for the Researgency Platform, and we continue to assess the scope and pace of further development as part of its commercialization strategy. We retain the exclusive license to the Researgency Platform under the Younet License Agreement. However, there can be no assurance that these efforts will be successful.</w:t>
      </w:r>
    </w:p>
    <w:p>
      <w:pPr>
        <w:pStyle w:val="TextBody"/>
        <w:bidi w:val="0"/>
        <w:spacing w:lineRule="auto" w:line="285" w:before="240" w:after="0"/>
        <w:ind w:left="0" w:right="0" w:hanging="0"/>
        <w:jc w:val="left"/>
        <w:rPr>
          <w:rFonts w:ascii="Times New Roman;Times;serif" w:hAnsi="Times New Roman;Times;serif"/>
          <w:i/>
          <w:sz w:val="20"/>
        </w:rPr>
      </w:pPr>
      <w:r>
        <w:rPr>
          <w:rFonts w:ascii="Times New Roman;Times;serif" w:hAnsi="Times New Roman;Times;serif"/>
          <w:i/>
          <w:sz w:val="20"/>
        </w:rPr>
        <w:t>Other Contractual Obligations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other material cash requirements from known contractual and other obligations as of June 30, 2026 primarily</w:t>
      </w:r>
      <w:r>
        <w:rPr>
          <w:rFonts w:ascii="Times New Roman;Times;serif" w:hAnsi="Times New Roman;Times;serif"/>
          <w:sz w:val="20"/>
          <w:shd w:fill="FFFFFF" w:val="clear"/>
        </w:rPr>
        <w:t xml:space="preserve"> related to our license agreement with Stanford University and our operating lease. </w:t>
      </w:r>
      <w:r>
        <w:rPr>
          <w:rFonts w:ascii="Times New Roman;Times;serif" w:hAnsi="Times New Roman;Times;serif"/>
          <w:sz w:val="20"/>
        </w:rPr>
        <w:t>For information related to our future commitments relating to our license agreement, see Note 15, “Commitments and Contingencies”, of our condensed consolidated financial statements.</w:t>
      </w:r>
      <w:r>
        <w:rPr>
          <w:rFonts w:ascii="Times New Roman;Times;serif" w:hAnsi="Times New Roman;Times;serif"/>
          <w:sz w:val="20"/>
          <w:shd w:fill="FFFFFF" w:val="clear"/>
        </w:rPr>
        <w:t> </w:t>
      </w:r>
    </w:p>
    <w:p>
      <w:pPr>
        <w:pStyle w:val="TextBody"/>
        <w:bidi w:val="0"/>
        <w:spacing w:lineRule="auto" w:line="285" w:before="0" w:after="0"/>
        <w:ind w:left="0" w:right="0" w:firstLine="720"/>
        <w:jc w:val="left"/>
        <w:rPr>
          <w:shd w:fill="FFFFFF" w:val="clear"/>
        </w:rPr>
      </w:pPr>
      <w:r>
        <w:rPr>
          <w:shd w:fill="FFFFFF" w:val="clea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and December 31, 2025, we had $0.2 million and $7.6 million in cash and cash equivalents, respectively.</w:t>
      </w:r>
    </w:p>
    <w:p>
      <w:pPr>
        <w:pStyle w:val="TextBody"/>
        <w:bidi w:val="0"/>
        <w:spacing w:lineRule="auto" w:line="285"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sources and uses of cash for each of the periods presented:</w:t>
      </w:r>
    </w:p>
    <w:tbl>
      <w:tblPr>
        <w:tblW w:w="7918" w:type="dxa"/>
        <w:jc w:val="left"/>
        <w:tblInd w:w="0" w:type="dxa"/>
        <w:tblLayout w:type="fixed"/>
        <w:tblCellMar>
          <w:top w:w="0" w:type="dxa"/>
          <w:left w:w="0" w:type="dxa"/>
          <w:bottom w:w="0" w:type="dxa"/>
          <w:right w:w="0" w:type="dxa"/>
        </w:tblCellMar>
      </w:tblPr>
      <w:tblGrid>
        <w:gridCol w:w="4216"/>
        <w:gridCol w:w="346"/>
        <w:gridCol w:w="211"/>
        <w:gridCol w:w="691"/>
        <w:gridCol w:w="346"/>
        <w:gridCol w:w="211"/>
        <w:gridCol w:w="796"/>
        <w:gridCol w:w="109"/>
        <w:gridCol w:w="211"/>
        <w:gridCol w:w="78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677160" cy="175260"/>
                      <wp:effectExtent l="0" t="0" r="0" b="0"/>
                      <wp:wrapNone/>
                      <wp:docPr id="298" name="Frame298"/>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38785" cy="175260"/>
                      <wp:effectExtent l="0" t="0" r="0" b="0"/>
                      <wp:wrapNone/>
                      <wp:docPr id="301" name="Frame3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05460" cy="175260"/>
                      <wp:effectExtent l="0" t="0" r="0" b="0"/>
                      <wp:wrapNone/>
                      <wp:docPr id="304" name="Frame30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95935" cy="175260"/>
                      <wp:effectExtent l="0" t="0" r="0" b="0"/>
                      <wp:wrapNone/>
                      <wp:docPr id="307" name="Frame3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r>
      <w:tr>
        <w:trPr/>
        <w:tc>
          <w:tcPr>
            <w:tcW w:w="42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r>
      <w:tr>
        <w:trPr/>
        <w:tc>
          <w:tcPr>
            <w:tcW w:w="42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791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r>
      <w:tr>
        <w:trPr/>
        <w:tc>
          <w:tcPr>
            <w:tcW w:w="42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(16,558)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12,128</w:t>
            </w:r>
          </w:p>
        </w:tc>
      </w:tr>
      <w:tr>
        <w:trPr/>
        <w:tc>
          <w:tcPr>
            <w:tcW w:w="42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(7,000)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(6,984)</w:t>
            </w:r>
          </w:p>
        </w:tc>
      </w:tr>
      <w:tr>
        <w:trPr/>
        <w:tc>
          <w:tcPr>
            <w:tcW w:w="42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6,767</w:t>
            </w:r>
          </w:p>
        </w:tc>
      </w:tr>
      <w:tr>
        <w:trPr/>
        <w:tc>
          <w:tcPr>
            <w:tcW w:w="42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(7,328)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(19,239)</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11,911</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Operating Activities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Net cash used in operating activities for the six months ended June 30, 2026 was $4.4 million, compared to $16.6 million for the six months ended June 30, 2025, a decrease of $12.1 million, primarily due to a decrease in net loss adjusted for non-cash charges of $12.6 million, partially offset by $0.5 million increase in </w:t>
      </w:r>
      <w:r>
        <w:rPr>
          <w:rFonts w:ascii="Times New Roman;Times;serif" w:hAnsi="Times New Roman;Times;serif"/>
          <w:color w:val="212529"/>
          <w:sz w:val="20"/>
          <w:shd w:fill="FFFFFF" w:val="clear"/>
        </w:rPr>
        <w:t>working capital.</w:t>
      </w:r>
      <w:r>
        <w:rPr>
          <w:rFonts w:ascii="Times New Roman;Times;serif" w:hAnsi="Times New Roman;Times;serif"/>
          <w:sz w:val="20"/>
        </w:rPr>
        <w:t xml:space="preserve">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Net cash used in investing activities for the six months ended June 30, 2026 and 2025 was $7.0 million and less than $0.1 million, respectively. Net cash used in investing activities for the six months ended June 30, 2026 was related to the Note. </w:t>
      </w:r>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for the six months ended June 30, 2026 was $4.1 million, primarily due to the net proceeds from the sale of 2,100,000 shares of the Series AAA Preferred Stock at $2.00 per share</w:t>
      </w:r>
      <w:r>
        <w:rPr>
          <w:rFonts w:ascii="Times New Roman;Times;serif" w:hAnsi="Times New Roman;Times;serif"/>
          <w:color w:val="212529"/>
          <w:sz w:val="20"/>
          <w:shd w:fill="FFFFFF" w:val="clear"/>
        </w:rPr>
        <w:t>.</w:t>
      </w:r>
      <w:r>
        <w:rPr>
          <w:rFonts w:ascii="Times New Roman;Times;serif" w:hAnsi="Times New Roman;Times;serif"/>
          <w:sz w:val="20"/>
        </w:rPr>
        <w:t xml:space="preserve"> </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shd w:fill="FFFFFF" w:val="clear"/>
        </w:rPr>
        <w:t>Net cash used in financing activities for the six months ended June 30, 2025 was $2.7 million, primarily due to a $2.5 million repayment of principal and payment fee on our Loan Agreement and $0.1 million payment of issuance costs related to </w:t>
      </w:r>
      <w:r>
        <w:rPr>
          <w:rFonts w:ascii="Times New Roman;Times;serif" w:hAnsi="Times New Roman;Times;serif"/>
          <w:color w:val="212529"/>
          <w:sz w:val="20"/>
          <w:shd w:fill="FFFFFF" w:val="clear"/>
        </w:rPr>
        <w:t>the sale of common stock and shares of our Series I Preferred Stock in our December 2024 private placement.</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Funding Requirements and Going Concern </w:t>
      </w:r>
    </w:p>
    <w:p>
      <w:pPr>
        <w:pStyle w:val="TextBody"/>
        <w:bidi w:val="0"/>
        <w:spacing w:lineRule="auto" w:line="285"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expect to continue to fund our operating expenses, lease obligations and capital expenditure requirements through a combination of our existing cash and cash equivalents and collections under the Note, within the operating budget described above under “Liquidity and Capital Resources,” supplemented as appropriate by potential sales under our ATM program and other financing alternatives. In addition, we are evaluating potential acquisition and growth opportunities that, if pursued, may require additional cash availability, including potential interim or bridge financing, a consideration we take into account in managing our resources, subject at all times to maintaining sufficient liquidity for our operations.</w:t>
      </w:r>
    </w:p>
    <w:p>
      <w:pPr>
        <w:pStyle w:val="TextBody"/>
        <w:bidi w:val="0"/>
        <w:spacing w:lineRule="auto" w:line="285"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Note is payable at our demand on no less than 45 days’ notice, bears interest at 8.0% per annum and is secured by a continuing first priority lien on and security interest of the Borrower. Through the date of this Quarterly Report, the Borrower has made repayments under the Note, including $44,000 on July 21, 2026. After consideration of our current operating plan and operating budget, including the measures described above and expected collections under the Note, including the approximately $1.0 million demanded pursuant to the Call Notice delivered on August 14, 2026, management has concluded that our existing cash and cash equivalents, together with such collections, will be sufficient to fund our operating expenses, lease obligations and capital expenditure requirements for the continued operation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development of the Researgency platform, for at least twelve months from the date of issuance of the condensed consolidated financial statements included elsewhere in this Quarterly Report on Form 10-Q.</w:t>
      </w:r>
    </w:p>
    <w:p>
      <w:pPr>
        <w:pStyle w:val="TextBody"/>
        <w:bidi w:val="0"/>
        <w:spacing w:lineRule="auto" w:line="328" w:before="0" w:after="16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As of the date of this quarterly report, we maintained a positive working capital ratio (current assets divided by current liabilities), indicating that we can cover our short-term operations and mitigate immediate going-concern risk. </w:t>
      </w:r>
    </w:p>
    <w:p>
      <w:pPr>
        <w:pStyle w:val="TextBody"/>
        <w:bidi w:val="0"/>
        <w:spacing w:lineRule="auto" w:line="285" w:before="0" w:after="0"/>
        <w:ind w:left="0" w:right="0" w:hanging="0"/>
        <w:jc w:val="left"/>
        <w:rPr>
          <w:rFonts w:ascii="Times New Roman;Times;serif" w:hAnsi="Times New Roman;Times;serif"/>
          <w:sz w:val="20"/>
        </w:rPr>
      </w:pPr>
      <w:bookmarkStart w:id="1784" w:name="Item3QuantitativeandQualitativeDisclosur"/>
      <w:bookmarkStart w:id="1785" w:name="_969559ff_f89c_4108_a838_17f616235e7d"/>
      <w:bookmarkEnd w:id="1784"/>
      <w:bookmarkEnd w:id="1785"/>
      <w:r>
        <w:rPr>
          <w:rFonts w:ascii="Times New Roman;Times;serif" w:hAnsi="Times New Roman;Times;serif"/>
          <w:b/>
          <w:sz w:val="20"/>
        </w:rPr>
        <w:t>Item 3.</w:t>
      </w:r>
      <w:r>
        <w:rPr>
          <w:rFonts w:ascii="Times New Roman;Times;serif" w:hAnsi="Times New Roman;Times;serif"/>
          <w:sz w:val="20"/>
        </w:rPr>
        <w:t xml:space="preserve"> </w:t>
      </w:r>
      <w:r>
        <w:rPr>
          <w:rFonts w:ascii="Times New Roman;Times;serif" w:hAnsi="Times New Roman;Times;serif"/>
          <w:b/>
          <w:sz w:val="20"/>
        </w:rPr>
        <w:t>Quantitative and Qualitative Disclosures About Market Risk.</w:t>
      </w:r>
    </w:p>
    <w:p>
      <w:pPr>
        <w:pStyle w:val="TextBody"/>
        <w:bidi w:val="0"/>
        <w:spacing w:lineRule="auto" w:line="285" w:before="240" w:after="200"/>
        <w:ind w:left="0" w:right="0" w:firstLine="720"/>
        <w:jc w:val="left"/>
        <w:rPr>
          <w:rFonts w:ascii="Times New Roman;Times;serif" w:hAnsi="Times New Roman;Times;serif"/>
          <w:sz w:val="20"/>
        </w:rPr>
      </w:pPr>
      <w:r>
        <w:rPr>
          <w:rFonts w:ascii="Times New Roman;Times;serif" w:hAnsi="Times New Roman;Times;serif"/>
          <w:sz w:val="20"/>
        </w:rPr>
        <w:t>Our financial instruments consist primarily of cash equivalents</w:t>
      </w:r>
      <w:r>
        <w:rPr>
          <w:rFonts w:ascii="Times New Roman;Times;serif" w:hAnsi="Times New Roman;Times;serif"/>
          <w:sz w:val="20"/>
          <w:shd w:fill="FFFFFF" w:val="clear"/>
        </w:rPr>
        <w:t>. </w:t>
      </w:r>
      <w:r>
        <w:rPr>
          <w:rFonts w:ascii="Times New Roman;Times;serif" w:hAnsi="Times New Roman;Times;serif"/>
          <w:sz w:val="20"/>
        </w:rPr>
        <w:t>Due to the short-term maturities of our cash equivalents, and the fixed income nature of these investments, an immediate 10% change in interest rates would not have a material effect on the fair market value of our cash equivalents</w:t>
      </w:r>
      <w:r>
        <w:rPr>
          <w:rFonts w:ascii="Times New Roman;Times;serif" w:hAnsi="Times New Roman;Times;serif"/>
          <w:b/>
          <w:sz w:val="20"/>
        </w:rPr>
        <w:t>.</w:t>
      </w:r>
    </w:p>
    <w:p>
      <w:pPr>
        <w:pStyle w:val="TextBody"/>
        <w:pBdr/>
        <w:bidi w:val="0"/>
        <w:spacing w:lineRule="auto" w:line="285" w:before="0" w:after="200"/>
        <w:ind w:left="0" w:right="0" w:hanging="720"/>
        <w:jc w:val="left"/>
        <w:rPr>
          <w:rFonts w:ascii="Times New Roman;Times;serif" w:hAnsi="Times New Roman;Times;serif"/>
          <w:sz w:val="20"/>
        </w:rPr>
      </w:pPr>
      <w:bookmarkStart w:id="1786" w:name="Item4ControlsandProcedures_593548"/>
      <w:bookmarkStart w:id="1787" w:name="_e0fbcb89_81f8_4cbe_b74d_998a02300efc"/>
      <w:bookmarkEnd w:id="1786"/>
      <w:bookmarkEnd w:id="1787"/>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Controls and Procedures.</w:t>
      </w:r>
    </w:p>
    <w:p>
      <w:pPr>
        <w:pStyle w:val="TextBody"/>
        <w:pBdr/>
        <w:bidi w:val="0"/>
        <w:spacing w:lineRule="auto" w:line="285" w:before="0" w:after="200"/>
        <w:ind w:left="0" w:right="0" w:hanging="72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19Officer and Chief Financial Officer, evaluated the effectiveness of our disclosure controls and procedures as of June 30,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not effective at the reasonable assurance level.</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As described in our Annual Report on Form 10-K for the year ended December 31, 2025, we previously identified a material weakness in our internal control over financial reporting that insufficient personnel following the Company’s restructuring has resulted in key controls over the financial reporting process not being fully implemented or operating effectively to support financial reporting in accordance with U.S. GAAP and SEC reporting requirements. This material weakness remained un-remediated as of June 30, 2026. We have initiated remediation activities and will continue to evaluate and enhance our controls.</w:t>
      </w:r>
    </w:p>
    <w:p>
      <w:pPr>
        <w:pStyle w:val="TextBody"/>
        <w:pBdr/>
        <w:bidi w:val="0"/>
        <w:spacing w:lineRule="auto" w:line="285" w:before="0" w:after="200"/>
        <w:ind w:left="0" w:right="0" w:hanging="72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There were no changes in our internal control over financial reporting that occurred during the three-month period ended June 30, 2026 that have materially affected, or are reasonably likely to materially affect, our internal control over financial reporting, except for steps initiated to remediate the material weakness referenced above. </w:t>
      </w:r>
    </w:p>
    <w:p>
      <w:pPr>
        <w:pStyle w:val="TextBody"/>
        <w:bidi w:val="0"/>
        <w:spacing w:lineRule="auto" w:line="285" w:before="0" w:after="240"/>
        <w:ind w:left="0" w:right="0" w:hanging="0"/>
        <w:jc w:val="center"/>
        <w:rPr>
          <w:rFonts w:ascii="Times New Roman;Times;serif" w:hAnsi="Times New Roman;Times;serif"/>
          <w:b/>
          <w:sz w:val="20"/>
        </w:rPr>
      </w:pPr>
      <w:bookmarkStart w:id="1788" w:name="PARTIIOTHERINFORMATION_139766"/>
      <w:bookmarkStart w:id="1789" w:name="Part_II"/>
      <w:bookmarkStart w:id="1790" w:name="_b91e8e1f_df50_4ded_900d_95fc9727ed51"/>
      <w:bookmarkEnd w:id="1788"/>
      <w:bookmarkEnd w:id="1789"/>
      <w:bookmarkEnd w:id="1790"/>
      <w:r>
        <w:rPr>
          <w:rFonts w:ascii="Times New Roman;Times;serif" w:hAnsi="Times New Roman;Times;serif"/>
          <w:b/>
          <w:sz w:val="20"/>
        </w:rPr>
        <w:t>PART II – OTHER INFORMATION</w:t>
      </w:r>
    </w:p>
    <w:p>
      <w:pPr>
        <w:pStyle w:val="TextBody"/>
        <w:pBdr/>
        <w:bidi w:val="0"/>
        <w:spacing w:lineRule="auto" w:line="285" w:before="0" w:after="240"/>
        <w:ind w:left="0" w:right="0" w:hanging="720"/>
        <w:jc w:val="left"/>
        <w:rPr>
          <w:rFonts w:ascii="Times New Roman;Times;serif" w:hAnsi="Times New Roman;Times;serif"/>
          <w:b/>
          <w:sz w:val="20"/>
        </w:rPr>
      </w:pPr>
      <w:bookmarkStart w:id="1791" w:name="Item1LegalProceedings_45369"/>
      <w:bookmarkEnd w:id="1791"/>
      <w:r>
        <w:rPr>
          <w:rFonts w:ascii="Times New Roman;Times;serif" w:hAnsi="Times New Roman;Times;serif"/>
          <w:b/>
          <w:sz w:val="20"/>
        </w:rPr>
        <w:t>Item 1. Legal Proceedings.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not currently subject to any material legal proceedings.</w:t>
      </w:r>
    </w:p>
    <w:p>
      <w:pPr>
        <w:pStyle w:val="TextBody"/>
        <w:bidi w:val="0"/>
        <w:spacing w:lineRule="auto" w:line="285" w:before="0" w:after="240"/>
        <w:ind w:left="0" w:right="0" w:hanging="0"/>
        <w:jc w:val="left"/>
        <w:rPr>
          <w:rFonts w:ascii="Times New Roman;Times;serif" w:hAnsi="Times New Roman;Times;serif"/>
          <w:sz w:val="20"/>
        </w:rPr>
      </w:pPr>
      <w:bookmarkStart w:id="1792" w:name="Item_1A_Risk_Factors"/>
      <w:bookmarkStart w:id="1793" w:name="_793a8ab1_c369_48cd_8e23_ecc969a22e41"/>
      <w:bookmarkEnd w:id="1792"/>
      <w:bookmarkEnd w:id="1793"/>
      <w:r>
        <w:rPr>
          <w:rFonts w:ascii="Times New Roman;Times;serif" w:hAnsi="Times New Roman;Times;serif"/>
          <w:b/>
          <w:sz w:val="20"/>
        </w:rPr>
        <w:t>Item 1A.</w:t>
      </w:r>
      <w:r>
        <w:rPr>
          <w:rFonts w:ascii="Times New Roman;Times;serif" w:hAnsi="Times New Roman;Times;serif"/>
          <w:sz w:val="20"/>
        </w:rPr>
        <w:t xml:space="preserve"> </w:t>
      </w:r>
      <w:r>
        <w:rPr>
          <w:rFonts w:ascii="Times New Roman;Times;serif" w:hAnsi="Times New Roman;Times;serif"/>
          <w:b/>
          <w:sz w:val="20"/>
        </w:rPr>
        <w:t>RISK FACTORS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a smaller reporting company as defined in Rule 12b-2 of the Exchange Act and are not required to provide the information required under this item.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240"/>
        <w:ind w:left="0" w:right="0" w:hanging="0"/>
        <w:jc w:val="left"/>
        <w:rPr>
          <w:rFonts w:ascii="Times New Roman;Times;serif" w:hAnsi="Times New Roman;Times;serif"/>
          <w:b/>
          <w:sz w:val="20"/>
        </w:rPr>
      </w:pPr>
      <w:bookmarkStart w:id="1794" w:name="Item2UnregisteredSalesofEquitySecurities"/>
      <w:bookmarkStart w:id="1795" w:name="_9edfcb0a_4fdf_4e1c_9578_d7bd51ba51dd"/>
      <w:bookmarkEnd w:id="1794"/>
      <w:bookmarkEnd w:id="1795"/>
      <w:r>
        <w:rPr>
          <w:rFonts w:ascii="Times New Roman;Times;serif" w:hAnsi="Times New Roman;Times;serif"/>
          <w:b/>
          <w:sz w:val="20"/>
        </w:rPr>
        <w:t>Item 2. Unregistered Sales of Equity Securities and Use of Proceeds.</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Sales of Unregistered Securities </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did not sell any shares of our common stock, shares of our preferred stock or warrants to purchase shares of our stock, or grant any stock options, restricted stock units or restricted stock awards, during the period covered by this Quarterly Report on Form 10-Q that were not registered under the Securities Act of 1933, as amended and that have not otherwise been described in a Current Report on Form 8-K. </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Use of Proceeds from our Public Offering of Common Stock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Repurchase of Shares or of Company Equity Securities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240"/>
        <w:ind w:left="0" w:right="0" w:hanging="0"/>
        <w:jc w:val="left"/>
        <w:rPr>
          <w:rFonts w:ascii="Times New Roman;Times;serif" w:hAnsi="Times New Roman;Times;serif"/>
          <w:b/>
          <w:sz w:val="20"/>
        </w:rPr>
      </w:pPr>
      <w:bookmarkStart w:id="1796" w:name="Item3Defaults_357860"/>
      <w:bookmarkStart w:id="1797" w:name="Item3_Defaults_Upon_Senior_Securities"/>
      <w:bookmarkStart w:id="1798" w:name="_4a524e1f_cf93_415c_84af_779e0cbd2004"/>
      <w:bookmarkEnd w:id="1796"/>
      <w:bookmarkEnd w:id="1797"/>
      <w:bookmarkEnd w:id="1798"/>
      <w:r>
        <w:rPr>
          <w:rFonts w:ascii="Times New Roman;Times;serif" w:hAnsi="Times New Roman;Times;serif"/>
          <w:b/>
          <w:sz w:val="20"/>
        </w:rPr>
        <w:t>Item 3. Defaults Upon Senior Securities.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799" w:name="Item4Mine_882972"/>
      <w:bookmarkStart w:id="1800" w:name="Item4_Mine_Safety"/>
      <w:bookmarkStart w:id="1801" w:name="_193282ca_7173_49e9_a4ff_7f28e59a9e3e"/>
      <w:bookmarkEnd w:id="1799"/>
      <w:bookmarkEnd w:id="1800"/>
      <w:bookmarkEnd w:id="1801"/>
      <w:r>
        <w:rPr>
          <w:rFonts w:ascii="Times New Roman;Times;serif" w:hAnsi="Times New Roman;Times;serif"/>
          <w:b/>
          <w:sz w:val="20"/>
        </w:rPr>
        <w:t>Item 4. Mine Safety Disclosures.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0"/>
        <w:ind w:left="0" w:right="0" w:firstLine="720"/>
        <w:jc w:val="left"/>
        <w:rPr/>
      </w:pPr>
      <w:r>
        <w:rPr/>
        <w:t>​</w:t>
      </w:r>
    </w:p>
    <w:p>
      <w:pPr>
        <w:pStyle w:val="TextBody"/>
        <w:bidi w:val="0"/>
        <w:spacing w:lineRule="atLeast" w:line="220" w:before="0" w:after="240"/>
        <w:ind w:left="0" w:right="0" w:hanging="0"/>
        <w:jc w:val="left"/>
        <w:rPr>
          <w:rFonts w:ascii="Times New Roman;Times;serif" w:hAnsi="Times New Roman;Times;serif"/>
          <w:sz w:val="20"/>
        </w:rPr>
      </w:pPr>
      <w:bookmarkStart w:id="1802" w:name="Item5OtherInformation"/>
      <w:bookmarkStart w:id="1803" w:name="_847b94ee_bf2c_4e9b_982c_fb8dd112c6b5"/>
      <w:bookmarkEnd w:id="1802"/>
      <w:bookmarkEnd w:id="1803"/>
      <w:r>
        <w:rPr>
          <w:rFonts w:ascii="Times New Roman;Times;serif" w:hAnsi="Times New Roman;Times;serif"/>
          <w:b/>
          <w:sz w:val="20"/>
        </w:rPr>
        <w:t>Item 5. Other Information.</w:t>
      </w:r>
      <w:r>
        <w:rPr>
          <w:rFonts w:ascii="Times New Roman;Times;serif" w:hAnsi="Times New Roman;Times;serif"/>
          <w:sz w:val="20"/>
        </w:rPr>
        <w:t xml:space="preserve"> </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Director and Officer Trading Arrangements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None of our directors or officers (as defined in Rule 16a-1(f) under the Securities Exchange Act of 1934, as amended) adopted or terminated a Rule 10b5-1 trading arrangement or a non-Rule 10b5-1 trading arrangement (as defined in Item 408(c) of Regulation S-K) during the quarterly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bookmarkStart w:id="1804" w:name="_b2928a9d_9ea7_4ad5_baca_a1afd42c41a0"/>
      <w:bookmarkStart w:id="1805" w:name="ExhibitIndex_515262"/>
      <w:bookmarkStart w:id="1806" w:name="Item5OtherInformation_166423"/>
      <w:bookmarkEnd w:id="1804"/>
      <w:bookmarkEnd w:id="1805"/>
      <w:bookmarkEnd w:id="1806"/>
      <w:r>
        <w:rPr>
          <w:rFonts w:ascii="Times New Roman;Times;serif" w:hAnsi="Times New Roman;Times;serif"/>
          <w:b/>
          <w:sz w:val="20"/>
        </w:rPr>
        <w:t>Item 6. Exhibits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Exhibit Index </w:t>
      </w:r>
    </w:p>
    <w:tbl>
      <w:tblPr>
        <w:tblW w:w="10205" w:type="dxa"/>
        <w:jc w:val="left"/>
        <w:tblInd w:w="0" w:type="dxa"/>
        <w:tblLayout w:type="fixed"/>
        <w:tblCellMar>
          <w:top w:w="0" w:type="dxa"/>
          <w:left w:w="0" w:type="dxa"/>
          <w:bottom w:w="0" w:type="dxa"/>
          <w:right w:w="0" w:type="dxa"/>
        </w:tblCellMar>
      </w:tblPr>
      <w:tblGrid>
        <w:gridCol w:w="755"/>
        <w:gridCol w:w="327"/>
        <w:gridCol w:w="337"/>
        <w:gridCol w:w="82"/>
        <w:gridCol w:w="84"/>
        <w:gridCol w:w="5246"/>
        <w:gridCol w:w="3218"/>
        <w:gridCol w:w="156"/>
      </w:tblGrid>
      <w:tr>
        <w:trPr/>
        <w:tc>
          <w:tcPr>
            <w:tcW w:w="755" w:type="dxa"/>
            <w:tcBorders/>
            <w:vAlign w:val="center"/>
          </w:tcPr>
          <w:p>
            <w:pPr>
              <w:pStyle w:val="TableContents"/>
              <w:bidi w:val="0"/>
              <w:spacing w:lineRule="auto" w:line="285" w:before="0" w:after="0"/>
              <w:ind w:left="0" w:right="0" w:hanging="0"/>
              <w:jc w:val="left"/>
              <w:rPr/>
            </w:pPr>
            <w:r>
              <w:rPr/>
              <w:t>​</w:t>
            </w:r>
          </w:p>
        </w:tc>
        <w:tc>
          <w:tcPr>
            <w:tcW w:w="664" w:type="dxa"/>
            <w:gridSpan w:val="2"/>
            <w:tcBorders/>
            <w:vAlign w:val="center"/>
          </w:tcPr>
          <w:p>
            <w:pPr>
              <w:pStyle w:val="TableContents"/>
              <w:bidi w:val="0"/>
              <w:spacing w:lineRule="auto" w:line="285" w:before="0" w:after="0"/>
              <w:ind w:left="0" w:right="0" w:hanging="0"/>
              <w:jc w:val="left"/>
              <w:rPr/>
            </w:pPr>
            <w:r>
              <w:rPr/>
              <w:t>​</w:t>
            </w:r>
          </w:p>
        </w:tc>
        <w:tc>
          <w:tcPr>
            <w:tcW w:w="5412" w:type="dxa"/>
            <w:gridSpan w:val="3"/>
            <w:tcBorders/>
            <w:vAlign w:val="center"/>
          </w:tcPr>
          <w:p>
            <w:pPr>
              <w:pStyle w:val="TableContents"/>
              <w:bidi w:val="0"/>
              <w:spacing w:lineRule="auto" w:line="285" w:before="0" w:after="0"/>
              <w:ind w:left="0" w:right="0" w:hanging="0"/>
              <w:jc w:val="left"/>
              <w:rPr/>
            </w:pPr>
            <w:r>
              <w:rPr/>
              <w:t>​</w:t>
            </w:r>
          </w:p>
        </w:tc>
        <w:tc>
          <w:tcPr>
            <w:tcW w:w="3374"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755" w:type="dxa"/>
            <w:tcBorders/>
            <w:vAlign w:val="center"/>
          </w:tcPr>
          <w:p>
            <w:pPr>
              <w:pStyle w:val="TableContents"/>
              <w:bidi w:val="0"/>
              <w:spacing w:lineRule="auto" w:line="285" w:before="0" w:after="0"/>
              <w:ind w:left="0" w:right="0" w:hanging="0"/>
              <w:jc w:val="center"/>
              <w:rPr/>
            </w:pPr>
            <w:r>
              <w:rPr/>
              <w:t>​</w:t>
            </w:r>
          </w:p>
        </w:tc>
        <w:tc>
          <w:tcPr>
            <w:tcW w:w="664" w:type="dxa"/>
            <w:gridSpan w:val="2"/>
            <w:tcBorders/>
            <w:vAlign w:val="center"/>
          </w:tcPr>
          <w:p>
            <w:pPr>
              <w:pStyle w:val="TableContents"/>
              <w:bidi w:val="0"/>
              <w:spacing w:lineRule="auto" w:line="285" w:before="0" w:after="0"/>
              <w:ind w:left="0" w:right="0" w:hanging="0"/>
              <w:jc w:val="right"/>
              <w:rPr/>
            </w:pPr>
            <w:r>
              <w:rPr/>
              <w:t>​</w:t>
            </w:r>
          </w:p>
        </w:tc>
        <w:tc>
          <w:tcPr>
            <w:tcW w:w="5412" w:type="dxa"/>
            <w:gridSpan w:val="3"/>
            <w:tcBorders/>
            <w:vAlign w:val="center"/>
          </w:tcPr>
          <w:p>
            <w:pPr>
              <w:pStyle w:val="TableContents"/>
              <w:bidi w:val="0"/>
              <w:spacing w:lineRule="auto" w:line="285" w:before="0" w:after="0"/>
              <w:ind w:left="0" w:right="0" w:hanging="0"/>
              <w:jc w:val="left"/>
              <w:rPr/>
            </w:pPr>
            <w:r>
              <w:rPr/>
              <w:t>​</w:t>
            </w:r>
          </w:p>
        </w:tc>
        <w:tc>
          <w:tcPr>
            <w:tcW w:w="3374"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EXHIBIT 3.1</w:t>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lineRule="auto" w:line="300" w:before="0" w:after="0"/>
              <w:ind w:left="0" w:right="0" w:hanging="0"/>
              <w:jc w:val="left"/>
              <w:rPr/>
            </w:pPr>
            <w:hyperlink r:id="rId2">
              <w:r>
                <w:rPr>
                  <w:rStyle w:val="InternetLink"/>
                  <w:rFonts w:ascii="Times New Roman;Times;serif" w:hAnsi="Times New Roman;Times;serif"/>
                  <w:b w:val="false"/>
                  <w:i w:val="false"/>
                  <w:caps w:val="false"/>
                  <w:smallCaps w:val="false"/>
                  <w:sz w:val="20"/>
                </w:rPr>
                <w:t>Certificate of Amendment to the Restated Certificate of Incorporation, as amended, of KALA BIO, Inc (incorporated by reference to Exhibit 3.1 to the Company’s Current Report on Form 8-K filed with the Securities and Exchange Commission on May 7, 2026)</w:t>
              </w:r>
            </w:hyperlink>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285" w:before="0" w:after="0"/>
              <w:ind w:left="0" w:right="0" w:hanging="0"/>
              <w:jc w:val="center"/>
              <w:rPr/>
            </w:pPr>
            <w:r>
              <w:rPr/>
              <w:t>​</w:t>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lineRule="auto" w:line="300" w:before="0" w:after="0"/>
              <w:ind w:left="0" w:right="0" w:hanging="0"/>
              <w:jc w:val="left"/>
              <w:rPr/>
            </w:pPr>
            <w:hyperlink r:id="rId3">
              <w:r>
                <w:rPr>
                  <w:rStyle w:val="InternetLink"/>
                  <w:rFonts w:ascii="Times New Roman;Times;serif" w:hAnsi="Times New Roman;Times;serif"/>
                  <w:b w:val="false"/>
                  <w:i w:val="false"/>
                  <w:caps w:val="false"/>
                  <w:smallCaps w:val="false"/>
                  <w:sz w:val="20"/>
                </w:rPr>
                <w:t>Note Amending Agreement, dated as of May 11, 2026, by and between the Company and Minglemint Solutions LLC (incorporated by reference to Exhibit 10.6 to the Company’s Quarterly Report on Form 10-Q filed with the Securities and Exchange Commission on May 15, 2026)</w:t>
              </w:r>
            </w:hyperlink>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285" w:before="0" w:after="0"/>
              <w:ind w:left="0" w:right="0" w:hanging="0"/>
              <w:jc w:val="center"/>
              <w:rPr/>
            </w:pPr>
            <w:r>
              <w:rPr/>
              <w:t>​</w:t>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EXHIBIT 31.1+</w:t>
            </w:r>
          </w:p>
        </w:tc>
        <w:tc>
          <w:tcPr>
            <w:tcW w:w="166" w:type="dxa"/>
            <w:gridSpan w:val="2"/>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4" w:type="dxa"/>
            <w:gridSpan w:val="2"/>
            <w:tcBorders/>
            <w:vAlign w:val="center"/>
          </w:tcPr>
          <w:p>
            <w:pPr>
              <w:pStyle w:val="TableContents"/>
              <w:bidi w:val="0"/>
              <w:spacing w:lineRule="auto" w:line="304" w:before="0" w:after="0"/>
              <w:ind w:left="0" w:right="0" w:hanging="0"/>
              <w:jc w:val="left"/>
              <w:rPr/>
            </w:pPr>
            <w:hyperlink w:anchor="kala-20260630xex31d1.htm">
              <w:r>
                <w:rPr>
                  <w:rStyle w:val="InternetLink"/>
                  <w:rFonts w:ascii="Times New Roman;Times;serif" w:hAnsi="Times New Roman;Times;serif"/>
                  <w:b w:val="false"/>
                  <w:i w:val="false"/>
                  <w:caps w:val="false"/>
                  <w:smallCaps w:val="false"/>
                  <w:sz w:val="20"/>
                </w:rPr>
                <w:t>Certification of Chief Executive Officer pursuant to Rules 13a-14(a) or 15d-14(a) of the Securities Exchange Act of 1934, as adopted pursuant to Section 302 of the Sarbanes-Oxley Act of 2002.</w:t>
              </w:r>
            </w:hyperlink>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before="0" w:after="283"/>
              <w:ind w:left="0" w:right="0" w:hanging="0"/>
              <w:jc w:val="left"/>
              <w:rPr>
                <w:sz w:val="4"/>
                <w:szCs w:val="4"/>
              </w:rPr>
            </w:pPr>
            <w:r>
              <w:rPr>
                <w:sz w:val="4"/>
                <w:szCs w:val="4"/>
              </w:rPr>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EXHIBIT 31.2+</w:t>
            </w:r>
          </w:p>
        </w:tc>
        <w:tc>
          <w:tcPr>
            <w:tcW w:w="166" w:type="dxa"/>
            <w:gridSpan w:val="2"/>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4" w:type="dxa"/>
            <w:gridSpan w:val="2"/>
            <w:tcBorders/>
            <w:vAlign w:val="center"/>
          </w:tcPr>
          <w:p>
            <w:pPr>
              <w:pStyle w:val="TableContents"/>
              <w:bidi w:val="0"/>
              <w:spacing w:lineRule="auto" w:line="304" w:before="0" w:after="0"/>
              <w:ind w:left="0" w:right="0" w:hanging="0"/>
              <w:jc w:val="left"/>
              <w:rPr/>
            </w:pPr>
            <w:hyperlink w:anchor="kala-20260630xex31d2.htm">
              <w:r>
                <w:rPr>
                  <w:rStyle w:val="InternetLink"/>
                  <w:rFonts w:ascii="Times New Roman;Times;serif" w:hAnsi="Times New Roman;Times;serif"/>
                  <w:b w:val="false"/>
                  <w:i w:val="false"/>
                  <w:caps w:val="false"/>
                  <w:smallCaps w:val="false"/>
                  <w:sz w:val="20"/>
                </w:rPr>
                <w:t>Certification of Chief Financial Officer pursuant to Rules 13a-14(a) or 15d-14(a) of the Securities Exchange Act of 1934, as adopted pursuant to Section 302 of the Sarbanes-Oxley Act of 2002.</w:t>
              </w:r>
            </w:hyperlink>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before="0" w:after="283"/>
              <w:ind w:left="0" w:right="0" w:hanging="0"/>
              <w:jc w:val="left"/>
              <w:rPr>
                <w:sz w:val="4"/>
                <w:szCs w:val="4"/>
              </w:rPr>
            </w:pPr>
            <w:r>
              <w:rPr>
                <w:sz w:val="4"/>
                <w:szCs w:val="4"/>
              </w:rPr>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EXHIBIT 32.1++</w:t>
            </w:r>
          </w:p>
        </w:tc>
        <w:tc>
          <w:tcPr>
            <w:tcW w:w="166" w:type="dxa"/>
            <w:gridSpan w:val="2"/>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4" w:type="dxa"/>
            <w:gridSpan w:val="2"/>
            <w:tcBorders/>
            <w:vAlign w:val="center"/>
          </w:tcPr>
          <w:p>
            <w:pPr>
              <w:pStyle w:val="TableContents"/>
              <w:bidi w:val="0"/>
              <w:spacing w:lineRule="auto" w:line="304" w:before="0" w:after="0"/>
              <w:ind w:left="0" w:right="0" w:hanging="0"/>
              <w:jc w:val="left"/>
              <w:rPr/>
            </w:pPr>
            <w:hyperlink w:anchor="kala-20260630xex32d1.htm">
              <w:r>
                <w:rPr>
                  <w:rStyle w:val="InternetLink"/>
                  <w:rFonts w:ascii="Times New Roman;Times;serif" w:hAnsi="Times New Roman;Times;serif"/>
                  <w:b w:val="false"/>
                  <w:i w:val="false"/>
                  <w:caps w:val="false"/>
                  <w:smallCaps w:val="false"/>
                  <w:sz w:val="20"/>
                </w:rPr>
                <w:t>Certifications pursuant to 18 U.S.C. Section 1350, as adopted pursuant to Section 906 of The Sarbanes-Oxley Act of 2002, by Avi Minkowitz Chief Executive Officer.</w:t>
              </w:r>
            </w:hyperlink>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285" w:before="0" w:after="0"/>
              <w:ind w:left="0" w:right="0" w:hanging="0"/>
              <w:jc w:val="center"/>
              <w:rPr/>
            </w:pPr>
            <w:r>
              <w:rPr/>
              <w:t>​</w:t>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EXHIBIT 32.2++</w:t>
            </w:r>
          </w:p>
        </w:tc>
        <w:tc>
          <w:tcPr>
            <w:tcW w:w="166" w:type="dxa"/>
            <w:gridSpan w:val="2"/>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4" w:type="dxa"/>
            <w:gridSpan w:val="2"/>
            <w:tcBorders/>
            <w:vAlign w:val="center"/>
          </w:tcPr>
          <w:p>
            <w:pPr>
              <w:pStyle w:val="TableContents"/>
              <w:bidi w:val="0"/>
              <w:spacing w:lineRule="auto" w:line="304" w:before="0" w:after="0"/>
              <w:ind w:left="0" w:right="0" w:hanging="0"/>
              <w:jc w:val="left"/>
              <w:rPr/>
            </w:pPr>
            <w:hyperlink w:anchor="kala-20260630xex32d2.htm">
              <w:r>
                <w:rPr>
                  <w:rStyle w:val="InternetLink"/>
                  <w:rFonts w:ascii="Times New Roman;Times;serif" w:hAnsi="Times New Roman;Times;serif"/>
                  <w:b w:val="false"/>
                  <w:i w:val="false"/>
                  <w:caps w:val="false"/>
                  <w:smallCaps w:val="false"/>
                  <w:sz w:val="20"/>
                </w:rPr>
                <w:t>Certifications pursuant to 18 U.S.C. Section 1350, as adopted pursuant to Section 906 of The Sarbanes-Oxley Act of 2002, by Avi Minkowitz, Chief Financial Officer of the Company.</w:t>
              </w:r>
            </w:hyperlink>
            <w:r>
              <w:rPr>
                <w:rFonts w:ascii="Times New Roman;Times;serif" w:hAnsi="Times New Roman;Times;serif"/>
                <w:sz w:val="20"/>
              </w:rPr>
              <w:t xml:space="preserve"> </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before="0" w:after="283"/>
              <w:ind w:left="0" w:right="0" w:hanging="0"/>
              <w:jc w:val="left"/>
              <w:rPr>
                <w:sz w:val="4"/>
                <w:szCs w:val="4"/>
              </w:rPr>
            </w:pPr>
            <w:r>
              <w:rPr>
                <w:sz w:val="4"/>
                <w:szCs w:val="4"/>
              </w:rPr>
            </w:r>
          </w:p>
        </w:tc>
        <w:tc>
          <w:tcPr>
            <w:tcW w:w="166" w:type="dxa"/>
            <w:gridSpan w:val="2"/>
            <w:tcBorders/>
            <w:vAlign w:val="center"/>
          </w:tcPr>
          <w:p>
            <w:pPr>
              <w:pStyle w:val="TableContents"/>
              <w:bidi w:val="0"/>
              <w:spacing w:before="0" w:after="283"/>
              <w:ind w:left="0" w:right="0" w:hanging="0"/>
              <w:jc w:val="left"/>
              <w:rPr>
                <w:sz w:val="4"/>
                <w:szCs w:val="4"/>
              </w:rPr>
            </w:pPr>
            <w:r>
              <w:rPr>
                <w:sz w:val="4"/>
                <w:szCs w:val="4"/>
              </w:rPr>
            </w:r>
          </w:p>
        </w:tc>
        <w:tc>
          <w:tcPr>
            <w:tcW w:w="8464" w:type="dxa"/>
            <w:gridSpan w:val="2"/>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EXHIBIT 101.INS</w:t>
            </w:r>
          </w:p>
        </w:tc>
        <w:tc>
          <w:tcPr>
            <w:tcW w:w="166" w:type="dxa"/>
            <w:gridSpan w:val="2"/>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4"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XBRL tags are embedded within the Inline XBRL document)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285" w:before="0" w:after="0"/>
              <w:ind w:left="0" w:right="0" w:hanging="0"/>
              <w:jc w:val="center"/>
              <w:rPr/>
            </w:pPr>
            <w:r>
              <w:rPr/>
              <w:t>​</w:t>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EXHIBIT 101.SCH</w:t>
            </w:r>
          </w:p>
        </w:tc>
        <w:tc>
          <w:tcPr>
            <w:tcW w:w="166" w:type="dxa"/>
            <w:gridSpan w:val="2"/>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4"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285" w:before="0" w:after="0"/>
              <w:ind w:left="0" w:right="0" w:hanging="0"/>
              <w:jc w:val="center"/>
              <w:rPr/>
            </w:pPr>
            <w:r>
              <w:rPr/>
              <w:t>​</w:t>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EXHIBIT 101.CAL</w:t>
            </w:r>
          </w:p>
        </w:tc>
        <w:tc>
          <w:tcPr>
            <w:tcW w:w="166" w:type="dxa"/>
            <w:gridSpan w:val="2"/>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4"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285" w:before="0" w:after="0"/>
              <w:ind w:left="0" w:right="0" w:hanging="0"/>
              <w:jc w:val="center"/>
              <w:rPr/>
            </w:pPr>
            <w:r>
              <w:rPr/>
              <w:t>​</w:t>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EXHIBIT 101.DEF</w:t>
            </w:r>
          </w:p>
        </w:tc>
        <w:tc>
          <w:tcPr>
            <w:tcW w:w="166" w:type="dxa"/>
            <w:gridSpan w:val="2"/>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4"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bidi w:val="0"/>
              <w:spacing w:lineRule="auto" w:line="285" w:before="0" w:after="0"/>
              <w:ind w:left="0" w:right="0" w:hanging="0"/>
              <w:jc w:val="center"/>
              <w:rPr/>
            </w:pPr>
            <w:r>
              <w:rPr/>
              <w:t>​</w:t>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EXHIBIT 101.LAB</w:t>
            </w:r>
          </w:p>
        </w:tc>
        <w:tc>
          <w:tcPr>
            <w:tcW w:w="166" w:type="dxa"/>
            <w:gridSpan w:val="2"/>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4"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pBdr/>
              <w:bidi w:val="0"/>
              <w:spacing w:lineRule="auto" w:line="285" w:before="0" w:after="0"/>
              <w:ind w:left="0" w:right="0" w:hanging="0"/>
              <w:jc w:val="center"/>
              <w:rPr/>
            </w:pPr>
            <w:r>
              <w:rPr/>
              <w:t>​</w:t>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EXHIBIT 101.PRE</w:t>
            </w:r>
          </w:p>
        </w:tc>
        <w:tc>
          <w:tcPr>
            <w:tcW w:w="166" w:type="dxa"/>
            <w:gridSpan w:val="2"/>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4"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pBdr/>
              <w:bidi w:val="0"/>
              <w:spacing w:lineRule="auto" w:line="285" w:before="0" w:after="0"/>
              <w:ind w:left="0" w:right="0" w:hanging="0"/>
              <w:jc w:val="center"/>
              <w:rPr/>
            </w:pPr>
            <w:r>
              <w:rPr/>
              <w:t>​</w:t>
            </w:r>
          </w:p>
        </w:tc>
        <w:tc>
          <w:tcPr>
            <w:tcW w:w="166" w:type="dxa"/>
            <w:gridSpan w:val="2"/>
            <w:tcBorders/>
            <w:vAlign w:val="center"/>
          </w:tcPr>
          <w:p>
            <w:pPr>
              <w:pStyle w:val="TableContents"/>
              <w:bidi w:val="0"/>
              <w:spacing w:lineRule="auto" w:line="285" w:before="0" w:after="0"/>
              <w:ind w:left="0" w:right="0" w:hanging="0"/>
              <w:jc w:val="right"/>
              <w:rPr/>
            </w:pPr>
            <w:r>
              <w:rPr/>
              <w:t>​</w:t>
            </w:r>
          </w:p>
        </w:tc>
        <w:tc>
          <w:tcPr>
            <w:tcW w:w="8464" w:type="dxa"/>
            <w:gridSpan w:val="2"/>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419" w:type="dxa"/>
            <w:gridSpan w:val="3"/>
            <w:tcBorders/>
            <w:vAlign w:val="center"/>
          </w:tcPr>
          <w:p>
            <w:pPr>
              <w:pStyle w:val="TableContents"/>
              <w:pBdr/>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EXHIBIT 104</w:t>
            </w:r>
          </w:p>
        </w:tc>
        <w:tc>
          <w:tcPr>
            <w:tcW w:w="166" w:type="dxa"/>
            <w:gridSpan w:val="2"/>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464"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82" w:type="dxa"/>
            <w:gridSpan w:val="2"/>
            <w:tcBorders/>
            <w:vAlign w:val="center"/>
          </w:tcPr>
          <w:p>
            <w:pPr>
              <w:pStyle w:val="TableContents"/>
              <w:bidi w:val="0"/>
              <w:spacing w:lineRule="auto" w:line="285" w:before="0" w:after="0"/>
              <w:ind w:left="0" w:right="0" w:hanging="0"/>
              <w:jc w:val="left"/>
              <w:rPr/>
            </w:pPr>
            <w:r>
              <w:rPr/>
              <w:t>​</w:t>
            </w:r>
          </w:p>
        </w:tc>
        <w:tc>
          <w:tcPr>
            <w:tcW w:w="419" w:type="dxa"/>
            <w:gridSpan w:val="2"/>
            <w:tcBorders/>
            <w:vAlign w:val="center"/>
          </w:tcPr>
          <w:p>
            <w:pPr>
              <w:pStyle w:val="TableContents"/>
              <w:bidi w:val="0"/>
              <w:spacing w:lineRule="auto" w:line="285" w:before="0" w:after="0"/>
              <w:ind w:left="0" w:right="0" w:hanging="0"/>
              <w:jc w:val="right"/>
              <w:rPr/>
            </w:pPr>
            <w:r>
              <w:rPr/>
              <w:t>​</w:t>
            </w:r>
          </w:p>
        </w:tc>
        <w:tc>
          <w:tcPr>
            <w:tcW w:w="8704" w:type="dxa"/>
            <w:gridSpan w:val="4"/>
            <w:tcBorders/>
            <w:vAlign w:val="center"/>
          </w:tcPr>
          <w:p>
            <w:pPr>
              <w:pStyle w:val="TableContents"/>
              <w:bidi w:val="0"/>
              <w:spacing w:lineRule="auto" w:line="285" w:before="0" w:after="0"/>
              <w:ind w:left="0" w:right="0" w:hanging="0"/>
              <w:jc w:val="left"/>
              <w:rPr>
                <w:shd w:fill="FFFF00" w:val="clear"/>
              </w:rPr>
            </w:pPr>
            <w:r>
              <w:rPr>
                <w:shd w:fill="FFFF00" w:val="clear"/>
              </w:rPr>
              <w:t>​</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 Filed herewith</w:t>
      </w:r>
    </w:p>
    <w:p>
      <w:pPr>
        <w:pStyle w:val="TextBody"/>
        <w:pBdr/>
        <w:bidi w:val="0"/>
        <w:spacing w:lineRule="auto" w:line="285" w:before="0" w:after="0"/>
        <w:ind w:left="0" w:right="0" w:hanging="360"/>
        <w:jc w:val="left"/>
        <w:rPr>
          <w:rFonts w:ascii="Times New Roman;Times;serif" w:hAnsi="Times New Roman;Times;serif"/>
          <w:sz w:val="18"/>
        </w:rPr>
      </w:pPr>
      <w:r>
        <w:rPr>
          <w:rFonts w:ascii="Times New Roman;Times;serif" w:hAnsi="Times New Roman;Times;serif"/>
          <w:sz w:val="18"/>
        </w:rPr>
        <w:t>++ Furnished herewith</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1807" w:name="SIGNATURES_344032"/>
      <w:bookmarkStart w:id="1808" w:name="_c46c1806_5ace_45d3_9143_bc9f1e95aa0f"/>
      <w:bookmarkEnd w:id="1807"/>
      <w:bookmarkEnd w:id="1808"/>
      <w:r>
        <w:rPr>
          <w:rFonts w:ascii="Times New Roman;Times;serif" w:hAnsi="Times New Roman;Times;serif"/>
          <w:b/>
          <w:sz w:val="20"/>
        </w:rPr>
        <w:t>SIGNATURES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983" w:type="dxa"/>
        <w:jc w:val="left"/>
        <w:tblInd w:w="0" w:type="dxa"/>
        <w:tblLayout w:type="fixed"/>
        <w:tblCellMar>
          <w:top w:w="0" w:type="dxa"/>
          <w:left w:w="0" w:type="dxa"/>
          <w:bottom w:w="0" w:type="dxa"/>
          <w:right w:w="0" w:type="dxa"/>
        </w:tblCellMar>
      </w:tblPr>
      <w:tblGrid>
        <w:gridCol w:w="2101"/>
        <w:gridCol w:w="406"/>
        <w:gridCol w:w="247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2882"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KALA BIO, Inc.</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2882" w:type="dxa"/>
            <w:gridSpan w:val="2"/>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August 19,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Avi Minkowitz</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Avi Minkowitz</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7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76"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August 19,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Avi Minkowitz</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Avi Minkowitz</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7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right"/>
        <w:rPr>
          <w:rFonts w:ascii="Times New Roman;Times;serif" w:hAnsi="Times New Roman;Times;serif"/>
          <w:b/>
          <w:sz w:val="20"/>
          <w:shd w:fill="FFFFFF" w:val="clear"/>
        </w:rPr>
      </w:pPr>
      <w:bookmarkStart w:id="1809" w:name="kala-20260630xex31d1.htm"/>
      <w:bookmarkStart w:id="1810" w:name="kskala20260630xex31d1"/>
      <w:bookmarkEnd w:id="1809"/>
      <w:bookmarkEnd w:id="1810"/>
      <w:r>
        <w:rPr>
          <w:rFonts w:ascii="Times New Roman;Times;serif" w:hAnsi="Times New Roman;Times;serif"/>
          <w:b/>
          <w:sz w:val="20"/>
          <w:shd w:fill="FFFFFF" w:val="clear"/>
        </w:rPr>
        <w:t xml:space="preserve">Exhibit 31.1 </w:t>
      </w:r>
      <w:r>
        <w:br w:type="page"/>
      </w:r>
    </w:p>
    <w:p>
      <w:pPr>
        <w:pStyle w:val="TextBody"/>
        <w:bidi w:val="0"/>
        <w:spacing w:before="24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 xml:space="preserve">CERTIFICATIONS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 Avi Minkowitz, certify that: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1. I have reviewed this Quarterly Report on Form 10-Q of KALA BIO, Inc.;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(b) Any fraud, whether or not material, that involves management or other employees who have a significant role in the registrant’s internal control over financial reporting. </w:t>
      </w:r>
    </w:p>
    <w:tbl>
      <w:tblPr>
        <w:tblW w:w="5380" w:type="dxa"/>
        <w:jc w:val="left"/>
        <w:tblInd w:w="0" w:type="dxa"/>
        <w:tblLayout w:type="fixed"/>
        <w:tblCellMar>
          <w:top w:w="0" w:type="dxa"/>
          <w:left w:w="0" w:type="dxa"/>
          <w:bottom w:w="0" w:type="dxa"/>
          <w:right w:w="0" w:type="dxa"/>
        </w:tblCellMar>
      </w:tblPr>
      <w:tblGrid>
        <w:gridCol w:w="1951"/>
        <w:gridCol w:w="146"/>
        <w:gridCol w:w="109"/>
        <w:gridCol w:w="146"/>
        <w:gridCol w:w="406"/>
        <w:gridCol w:w="146"/>
        <w:gridCol w:w="2476"/>
      </w:tblGrid>
      <w:tr>
        <w:trPr/>
        <w:tc>
          <w:tcPr>
            <w:tcW w:w="1951" w:type="dxa"/>
            <w:tcBorders/>
            <w:vAlign w:val="center"/>
          </w:tcPr>
          <w:p>
            <w:pPr>
              <w:pStyle w:val="TableContents"/>
              <w:bidi w:val="0"/>
              <w:spacing w:before="0" w:after="0"/>
              <w:ind w:left="0" w:right="0" w:hanging="0"/>
              <w:jc w:val="left"/>
              <w:rPr/>
            </w:pPr>
            <w:r>
              <w:rPr/>
              <w:t> </w:t>
            </w:r>
            <w:r>
              <w:rPr>
                <w:rFonts w:ascii="Times New Roman;Times;serif" w:hAnsi="Times New Roman;Times;serif"/>
                <w:sz w:val="24"/>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92710" cy="175260"/>
                      <wp:effectExtent l="0" t="0" r="0" b="0"/>
                      <wp:wrapNone/>
                      <wp:docPr id="308" name="Frame30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92710" cy="175260"/>
                      <wp:effectExtent l="0" t="0" r="0" b="0"/>
                      <wp:wrapNone/>
                      <wp:docPr id="309" name="Frame30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92710" cy="175260"/>
                      <wp:effectExtent l="0" t="0" r="0" b="0"/>
                      <wp:wrapNone/>
                      <wp:docPr id="310" name="Frame3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55" w:type="dxa"/>
            <w:gridSpan w:val="2"/>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262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19, 2026</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Avi Minkowitz</w:t>
            </w:r>
          </w:p>
        </w:tc>
      </w:tr>
      <w:tr>
        <w:trPr/>
        <w:tc>
          <w:tcPr>
            <w:tcW w:w="19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NewRomanPSMT" w:hAnsi="TimesNewRomanPSMT"/>
                <w:sz w:val="20"/>
              </w:rPr>
            </w:pPr>
            <w:r>
              <w:rPr>
                <w:rFonts w:ascii="TimesNewRomanPSMT" w:hAnsi="TimesNewRomanPSMT"/>
                <w:sz w:val="20"/>
              </w:rPr>
              <w:t>Avi Minkowitz</w:t>
            </w:r>
          </w:p>
        </w:tc>
      </w:tr>
      <w:tr>
        <w:trPr/>
        <w:tc>
          <w:tcPr>
            <w:tcW w:w="19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shd w:fill="FFFFFF" w:val="clear"/>
        </w:rPr>
      </w:pPr>
      <w:r>
        <w:rPr>
          <w:shd w:fill="FFFFFF" w:val="clea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shd w:fill="FFFFFF" w:val="clear"/>
        </w:rPr>
      </w:pPr>
      <w:bookmarkStart w:id="1811" w:name="kala-20260630xex31d2.htm"/>
      <w:bookmarkStart w:id="1812" w:name="kskala20260630xex31d2"/>
      <w:bookmarkEnd w:id="1811"/>
      <w:bookmarkEnd w:id="1812"/>
      <w:r>
        <w:rPr>
          <w:rFonts w:ascii="Times New Roman;Times;serif" w:hAnsi="Times New Roman;Times;serif"/>
          <w:b/>
          <w:sz w:val="20"/>
          <w:shd w:fill="FFFFFF" w:val="clear"/>
        </w:rPr>
        <w:t xml:space="preserve">Exhibit 31.2 </w:t>
      </w:r>
      <w:r>
        <w:br w:type="page"/>
      </w:r>
    </w:p>
    <w:p>
      <w:pPr>
        <w:pStyle w:val="TextBody"/>
        <w:bidi w:val="0"/>
        <w:spacing w:before="24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 xml:space="preserve">CERTIFICATIONS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 Avi Minkowitz, certify that: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1. I have reviewed this Quarterly Report on Form 10-Q of KALA BIO, Inc.;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(b) Any fraud, whether or not material, that involves management or other employees who have a significant role in the registrant’s internal control over financial reporting. </w:t>
      </w:r>
    </w:p>
    <w:p>
      <w:pPr>
        <w:pStyle w:val="TextBody"/>
        <w:bidi w:val="0"/>
        <w:spacing w:before="0" w:after="0"/>
        <w:ind w:left="0" w:right="0" w:hanging="0"/>
        <w:jc w:val="left"/>
        <w:rPr>
          <w:shd w:fill="FFFFFF" w:val="clear"/>
        </w:rPr>
      </w:pPr>
      <w:r>
        <w:rPr>
          <w:shd w:fill="FFFFFF" w:val="clear"/>
        </w:rPr>
        <w:t> </w:t>
      </w:r>
    </w:p>
    <w:tbl>
      <w:tblPr>
        <w:tblW w:w="5320" w:type="dxa"/>
        <w:jc w:val="left"/>
        <w:tblInd w:w="0" w:type="dxa"/>
        <w:tblLayout w:type="fixed"/>
        <w:tblCellMar>
          <w:top w:w="0" w:type="dxa"/>
          <w:left w:w="0" w:type="dxa"/>
          <w:bottom w:w="0" w:type="dxa"/>
          <w:right w:w="0" w:type="dxa"/>
        </w:tblCellMar>
      </w:tblPr>
      <w:tblGrid>
        <w:gridCol w:w="1951"/>
        <w:gridCol w:w="146"/>
        <w:gridCol w:w="109"/>
        <w:gridCol w:w="146"/>
        <w:gridCol w:w="406"/>
        <w:gridCol w:w="146"/>
        <w:gridCol w:w="2416"/>
      </w:tblGrid>
      <w:tr>
        <w:trPr/>
        <w:tc>
          <w:tcPr>
            <w:tcW w:w="19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2710" cy="175260"/>
                      <wp:effectExtent l="0" t="0" r="0" b="0"/>
                      <wp:wrapNone/>
                      <wp:docPr id="311" name="Frame3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92710" cy="175260"/>
                      <wp:effectExtent l="0" t="0" r="0" b="0"/>
                      <wp:wrapNone/>
                      <wp:docPr id="312" name="Frame31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92710" cy="175260"/>
                      <wp:effectExtent l="0" t="0" r="0" b="0"/>
                      <wp:wrapNone/>
                      <wp:docPr id="313" name="Frame3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55" w:type="dxa"/>
            <w:gridSpan w:val="2"/>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256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19, 2026</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shd w:fill="FFFFFF" w:val="clear"/>
              </w:rPr>
              <w:t>Avi Minkowitz</w:t>
            </w:r>
          </w:p>
        </w:tc>
      </w:tr>
      <w:tr>
        <w:trPr/>
        <w:tc>
          <w:tcPr>
            <w:tcW w:w="19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Avi Minkowitz</w:t>
            </w:r>
          </w:p>
        </w:tc>
      </w:tr>
      <w:tr>
        <w:trPr/>
        <w:tc>
          <w:tcPr>
            <w:tcW w:w="19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shd w:fill="FFFFFF" w:val="clear"/>
        </w:rPr>
      </w:pPr>
      <w:r>
        <w:rPr>
          <w:shd w:fill="FFFFFF" w:val="clea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13" w:name="kala-20260630xex32d1.htm"/>
      <w:bookmarkStart w:id="1814" w:name="kskala20260630xex32d1"/>
      <w:bookmarkEnd w:id="1813"/>
      <w:bookmarkEnd w:id="1814"/>
      <w:r>
        <w:rPr>
          <w:rFonts w:ascii="Times New Roman;Times;serif" w:hAnsi="Times New Roman;Times;serif"/>
          <w:b/>
          <w:sz w:val="20"/>
        </w:rPr>
        <w:t>Exhibit 32.1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KALA BIO, Inc. (the “Company”) for the period ended June 30, 2026, as filed with the Securities and Exchange Commission on the date hereof (the “Report”), the undersigned, Avi Minkowitz, Principal Executive Officer of the Company, hereby certifies, pursuant to 18 U.S.C. Section 1350, as adopted pursuant to Section 906 of the Sarbanes-Oxley Act of 2002, that to the best of his knowledge on the date hereof:</w:t>
      </w:r>
    </w:p>
    <w:p>
      <w:pPr>
        <w:pStyle w:val="TextBody"/>
        <w:bidi w:val="0"/>
        <w:spacing w:before="0" w:after="0"/>
        <w:ind w:left="0" w:right="0" w:hanging="0"/>
        <w:jc w:val="left"/>
        <w:rPr/>
      </w:pPr>
      <w:r>
        <w:rPr/>
        <w:t> </w:t>
      </w:r>
    </w:p>
    <w:p>
      <w:pPr>
        <w:pStyle w:val="TextBody"/>
        <w:bidi w:val="0"/>
        <w:spacing w:before="0" w:after="0"/>
        <w:ind w:left="450" w:right="0" w:firstLine="276"/>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 </w:t>
      </w:r>
    </w:p>
    <w:p>
      <w:pPr>
        <w:pStyle w:val="TextBody"/>
        <w:bidi w:val="0"/>
        <w:spacing w:before="0" w:after="0"/>
        <w:ind w:left="450" w:right="0" w:firstLine="276"/>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 </w:t>
      </w:r>
    </w:p>
    <w:tbl>
      <w:tblPr>
        <w:tblW w:w="4533" w:type="dxa"/>
        <w:jc w:val="left"/>
        <w:tblInd w:w="0" w:type="dxa"/>
        <w:tblLayout w:type="fixed"/>
        <w:tblCellMar>
          <w:top w:w="0" w:type="dxa"/>
          <w:left w:w="0" w:type="dxa"/>
          <w:bottom w:w="0" w:type="dxa"/>
          <w:right w:w="0" w:type="dxa"/>
        </w:tblCellMar>
      </w:tblPr>
      <w:tblGrid>
        <w:gridCol w:w="601"/>
        <w:gridCol w:w="1456"/>
        <w:gridCol w:w="2476"/>
      </w:tblGrid>
      <w:tr>
        <w:trPr/>
        <w:tc>
          <w:tcPr>
            <w:tcW w:w="601"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19, 2026</w:t>
            </w:r>
          </w:p>
        </w:tc>
        <w:tc>
          <w:tcPr>
            <w:tcW w:w="247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Avi Minkowitz</w:t>
            </w:r>
          </w:p>
        </w:tc>
      </w:tr>
      <w:tr>
        <w:trPr/>
        <w:tc>
          <w:tcPr>
            <w:tcW w:w="601"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Avi Minkowitz</w:t>
            </w:r>
          </w:p>
        </w:tc>
      </w:tr>
      <w:tr>
        <w:trPr/>
        <w:tc>
          <w:tcPr>
            <w:tcW w:w="601"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601"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15" w:name="kala-20260630xex32d2.htm"/>
      <w:bookmarkStart w:id="1816" w:name="kskala20260630xex32d2"/>
      <w:bookmarkEnd w:id="1815"/>
      <w:bookmarkEnd w:id="1816"/>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of KALA BIO, Inc. (the “Company”) for the period ended June 30, 2026, as filed with the Securities and Exchange Commission on the date hereof (the “Report”), the undersigned, </w:t>
      </w:r>
      <w:r>
        <w:rPr>
          <w:rFonts w:ascii="Times New Roman;Times;serif" w:hAnsi="Times New Roman;Times;serif"/>
          <w:sz w:val="20"/>
          <w:shd w:fill="FFFFFF" w:val="clear"/>
        </w:rPr>
        <w:t>Avi Minkowitz</w:t>
      </w:r>
      <w:r>
        <w:rPr>
          <w:rFonts w:ascii="Times New Roman;Times;serif" w:hAnsi="Times New Roman;Times;serif"/>
          <w:sz w:val="20"/>
        </w:rPr>
        <w:t>, Chief Financial Officer of the Company, hereby certifies, pursuant to 18 U.S.C. Section 1350, as adopted pursuant to Section 906 of the Sarbanes-Oxley Act of 2002, that to the best of his knowledge on the date hereof:</w:t>
      </w:r>
    </w:p>
    <w:p>
      <w:pPr>
        <w:pStyle w:val="TextBody"/>
        <w:bidi w:val="0"/>
        <w:spacing w:before="0" w:after="0"/>
        <w:ind w:left="0" w:right="0" w:hanging="0"/>
        <w:jc w:val="left"/>
        <w:rPr/>
      </w:pPr>
      <w:r>
        <w:rPr/>
        <w:t> </w:t>
      </w:r>
    </w:p>
    <w:p>
      <w:pPr>
        <w:pStyle w:val="TextBody"/>
        <w:bidi w:val="0"/>
        <w:spacing w:before="0" w:after="0"/>
        <w:ind w:left="450" w:right="0" w:firstLine="276"/>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 </w:t>
      </w:r>
    </w:p>
    <w:p>
      <w:pPr>
        <w:pStyle w:val="TextBody"/>
        <w:bidi w:val="0"/>
        <w:spacing w:before="0" w:after="0"/>
        <w:ind w:left="450" w:right="0" w:firstLine="276"/>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 </w:t>
      </w:r>
    </w:p>
    <w:p>
      <w:pPr>
        <w:pStyle w:val="TextBody"/>
        <w:bidi w:val="0"/>
        <w:spacing w:before="0" w:after="0"/>
        <w:ind w:left="450" w:right="0" w:hanging="0"/>
        <w:jc w:val="left"/>
        <w:rPr/>
      </w:pPr>
      <w:r>
        <w:rPr/>
        <w:t> </w:t>
      </w:r>
    </w:p>
    <w:tbl>
      <w:tblPr>
        <w:tblW w:w="4473" w:type="dxa"/>
        <w:jc w:val="left"/>
        <w:tblInd w:w="0" w:type="dxa"/>
        <w:tblLayout w:type="fixed"/>
        <w:tblCellMar>
          <w:top w:w="0" w:type="dxa"/>
          <w:left w:w="0" w:type="dxa"/>
          <w:bottom w:w="0" w:type="dxa"/>
          <w:right w:w="0" w:type="dxa"/>
        </w:tblCellMar>
      </w:tblPr>
      <w:tblGrid>
        <w:gridCol w:w="601"/>
        <w:gridCol w:w="1456"/>
        <w:gridCol w:w="2416"/>
      </w:tblGrid>
      <w:tr>
        <w:trPr/>
        <w:tc>
          <w:tcPr>
            <w:tcW w:w="601"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19, 2026</w:t>
            </w:r>
          </w:p>
        </w:tc>
        <w:tc>
          <w:tcPr>
            <w:tcW w:w="241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shd w:fill="FFFFFF" w:val="clear"/>
              </w:rPr>
              <w:t>Avi Minkowitz</w:t>
            </w:r>
          </w:p>
        </w:tc>
      </w:tr>
      <w:tr>
        <w:trPr/>
        <w:tc>
          <w:tcPr>
            <w:tcW w:w="601"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Avi Minkowitz</w:t>
            </w:r>
          </w:p>
        </w:tc>
      </w:tr>
      <w:tr>
        <w:trPr/>
        <w:tc>
          <w:tcPr>
            <w:tcW w:w="601"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601"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 w:name="Helvetica">
    <w:altName w:val="Arial"/>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79419/000182912626004744/kalabio_ex3-1.htm" TargetMode="External"/><Relationship Id="rId3" Type="http://schemas.openxmlformats.org/officeDocument/2006/relationships/hyperlink" Target="https://www.sec.gov/Archives/edgar/data/1479419/000110465926062397/kala-20260331xex10d6.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19137</Words>
  <Characters>105475</Characters>
  <CharactersWithSpaces>126431</CharactersWithSpaces>
  <Paragraphs>4887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