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kalabio_nt10q.htm"/>
      <w:bookmarkStart w:id="1" w:name="kskalabio_nt10q"/>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100"/>
        <w:gridCol w:w="8885"/>
      </w:tblGrid>
      <w:tr>
        <w:trPr/>
        <w:tc>
          <w:tcPr>
            <w:tcW w:w="11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tc>
        <w:tc>
          <w:tcPr>
            <w:tcW w:w="888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   ☐ Form 20-F   ☐ Form 11-K   ☒ Form 10-Q   ☐ Form 10-D   ☐ Form N-CEN  ☐ Form N-CSR</w:t>
            </w:r>
          </w:p>
        </w:tc>
      </w:tr>
      <w:tr>
        <w:trPr/>
        <w:tc>
          <w:tcPr>
            <w:tcW w:w="110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June 30, 2026</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20-F</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11-K</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10-Q</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jc w:val="center"/>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760"/>
      </w:tblGrid>
      <w:tr>
        <w:trPr/>
        <w:tc>
          <w:tcPr>
            <w:tcW w:w="4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r>
      <w:tr>
        <w:trPr/>
        <w:tc>
          <w:tcPr>
            <w:tcW w:w="4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r>
      <w:tr>
        <w:trPr/>
        <w:tc>
          <w:tcPr>
            <w:tcW w:w="4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 Massachusetts Avenue</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tc>
      </w:tr>
      <w:tr>
        <w:trPr/>
        <w:tc>
          <w:tcPr>
            <w:tcW w:w="4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Arlington, MA 02476</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 (the “Company”) will not, without unreasonable effort and expense, be able to file its Quarterly Report on Form 10-Q for the quarter ended June 30, 2026 (the “Form 10-Q”) within the prescribed time period because the Company requires additional time to complete its analysis and disclosure regarding its liquidity and capital resources. The Company anticipates that it will file the Form 10-Q no later than the fifth calendar day following the prescribed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4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75"/>
        <w:gridCol w:w="1265"/>
        <w:gridCol w:w="60"/>
        <w:gridCol w:w="2735"/>
      </w:tblGrid>
      <w:tr>
        <w:trPr/>
        <w:tc>
          <w:tcPr>
            <w:tcW w:w="75"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 Minkowitz</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 818-1261</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(Telephone Number)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 </w:t>
            </w:r>
          </w:p>
        </w:tc>
      </w:tr>
      <w:tr>
        <w:trPr/>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Note Regarding Forward-Looking Statements</w:t>
      </w:r>
      <w:r>
        <w:rPr>
          <w:rFonts w:ascii="Times New Roman;Times;Serif" w:hAnsi="Times New Roman;Times;Serif"/>
          <w:b w:val="false"/>
          <w:i w:val="false"/>
          <w:caps w:val="false"/>
          <w:smallCaps w:val="false"/>
          <w:sz w:val="20"/>
        </w:rPr>
        <w:t>. The statements included in or incorporated into this Form 12b-25 regarding our financial performance and results of operations, in each case as expected to be reported, expected filing date of the Form 10-Q, and the completion of matters necessary to permit filing by the extension deadline, and other statements that are not historical facts are “forward-looking statements” within the meaning of Section 27A of the Securities Act of 1933 and Section 21E of the Securities Exchange Act of 1934. Although we believe the expectations and forecasts reflected in our forward-looking statements are reasonable, we can give no assurance they will prove to have been correct. They can be affected by inaccurate assumptions or by known or unknown risks and uncertainties. Should one or more of these risks or uncertainties materialize, or should underlying assumptions prove incorrect, actual results may vary materially from those indicated. Factors that could cause actual results to differ materially from expected results include: (i) unanticipated factors that may delay the Company’s completion of its Form 10-Q; (ii) the preliminary nature of the financial results contained in this Form 12b-25 and the possibility that such results could materially change as they are finalized and audited; and (iii) other factors described under Risk Factors in our most recent Form 10-K and other filings with the U.S. Securities and Exchange Commission. Unless required by law, the Company expressly disclaims any obligation to update publicly any forward-looking statements, whether as a result of new information, future events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KALA BIO,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470"/>
        <w:gridCol w:w="1370"/>
        <w:gridCol w:w="60"/>
        <w:gridCol w:w="320"/>
        <w:gridCol w:w="545"/>
        <w:gridCol w:w="195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Avi Minkowitz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Minkowitz</w:t>
            </w:r>
          </w:p>
        </w:tc>
      </w:tr>
      <w:tr>
        <w:trPr/>
        <w:tc>
          <w:tcPr>
            <w:tcW w:w="18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850</Words>
  <Characters>4459</Characters>
  <CharactersWithSpaces>5340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