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kalabio_s3a.htm"/>
      <w:bookmarkStart w:id="1" w:name="kskalabio_s3a"/>
      <w:bookmarkEnd w:id="0"/>
      <w:bookmarkEnd w:id="1"/>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June 12, 2026</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333-295667</w:t>
      </w:r>
      <w:r>
        <w:rPr>
          <w:rFonts w:ascii="Times New Roman;Times;Serif" w:hAnsi="Times New Roman;Times;Serif"/>
          <w:b w:val="false"/>
          <w:i w:val="false"/>
          <w:caps w:val="false"/>
          <w:smallCaps w:val="false"/>
          <w:sz w:val="20"/>
        </w:rPr>
        <w:t xml:space="preserve">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AMENDMENT NO. 1</w:t>
      </w:r>
      <w:r>
        <w:rPr>
          <w:rFonts w:ascii="Times New Roman;Times;Serif" w:hAnsi="Times New Roman;Times;Serif"/>
          <w:b w:val="false"/>
          <w:i w:val="false"/>
          <w:caps w:val="false"/>
          <w:smallCaps w:val="false"/>
          <w:sz w:val="28"/>
        </w:rPr>
        <w:t xml:space="preserve"> </w:t>
      </w:r>
    </w:p>
    <w:p>
      <w:pPr>
        <w:pStyle w:val="TextBody"/>
        <w:bidi w:val="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TO</w:t>
      </w:r>
      <w:r>
        <w:rPr>
          <w:rFonts w:ascii="Times New Roman;Times;Serif" w:hAnsi="Times New Roman;Times;Serif"/>
          <w:b w:val="false"/>
          <w:i w:val="false"/>
          <w:caps w:val="false"/>
          <w:smallCaps w:val="false"/>
          <w:sz w:val="28"/>
        </w:rPr>
        <w:t xml:space="preserve"> </w:t>
      </w:r>
    </w:p>
    <w:p>
      <w:pPr>
        <w:pStyle w:val="TextBody"/>
        <w:bidi w:val="0"/>
        <w:jc w:val="center"/>
        <w:rPr>
          <w:rFonts w:ascii="Times New Roman;Times;serif" w:hAnsi="Times New Roman;Times;serif"/>
          <w:b/>
          <w:sz w:val="28"/>
        </w:rPr>
      </w:pPr>
      <w:r>
        <w:rPr>
          <w:rFonts w:ascii="Times New Roman;Times;serif" w:hAnsi="Times New Roman;Times;serif"/>
          <w:b/>
          <w:sz w:val="28"/>
        </w:rPr>
        <w:t>FORM S-3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sz w:val="28"/>
        </w:rPr>
      </w:pPr>
      <w:r>
        <w:rPr>
          <w:rFonts w:ascii="Times New Roman;Times;serif" w:hAnsi="Times New Roman;Times;serif"/>
          <w:b/>
          <w:sz w:val="28"/>
        </w:rPr>
        <w:t>KALA BIO,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2855"/>
        <w:gridCol w:w="60"/>
        <w:gridCol w:w="2195"/>
      </w:tblGrid>
      <w:tr>
        <w:trPr/>
        <w:tc>
          <w:tcPr>
            <w:tcW w:w="2855" w:type="dxa"/>
            <w:tcBorders>
              <w:bottom w:val="single" w:sz="8"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8" w:space="0" w:color="000000"/>
            </w:tcBorders>
            <w:vAlign w:val="center"/>
          </w:tcPr>
          <w:p>
            <w:pPr>
              <w:pStyle w:val="TableContents"/>
              <w:bidi w:val="0"/>
              <w:spacing w:before="0" w:after="283"/>
              <w:jc w:val="center"/>
              <w:rPr>
                <w:b/>
              </w:rPr>
            </w:pPr>
            <w:r>
              <w:rPr>
                <w:b/>
              </w:rPr>
              <w:t>27-0604595</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pPr>
            <w:r>
              <w:rPr/>
              <w:t>(I.R.S. Employer</w:t>
              <w:br/>
              <w:t>Identification Number)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1167 Massachusetts Avenue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Arlington, MA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996-5252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 Minkowitz</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1167 Massachusetts Avenue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Arlington, MA 02476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996-5252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of all communications, including communications sent to agent for service, should be sent to:</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Rick A. Werner, Esq.</w:t>
        <w:br/>
        <w:t>Haynes and Boone, LLP</w:t>
        <w:br/>
        <w:t>30 Rockefeller Plaza, 26th Floor</w:t>
        <w:br/>
        <w:t>New York, New York 10112</w:t>
        <w:br/>
        <w:t>Tel. (212) 659-7300</w:t>
        <w:br/>
        <w:t>Fax (212) 884-8234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sz w:val="20"/>
        </w:rPr>
      </w:pPr>
      <w:r>
        <w:rPr>
          <w:rFonts w:ascii="Times New Roman;Times;Serif" w:hAnsi="Times New Roman;Times;Serif"/>
          <w:b/>
          <w:i w:val="false"/>
          <w:caps/>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S-3 (this “Registration Statement”) is being filed by KALA BIO, Inc. (the “Company”) pursuant to Rule 415(a)(6) under the U.S. Securities Act of 1933, as amended (the “Securities Act”), to replace the Company’s Registration Statement on Form S-3 (File No. 333-270263) originally filed with the Securities and Exchange Commission (the “SEC”) on March 3, 2023 and declared effective on May 11, 2023 (the “Prior Registration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415(a)(6) under the Securities Act, we are registering on this Registration Statement an aggregate of $327,820,467 million of unsold securities (the “Unsold Securities”) previously registered under the Prior Registration Statement to be offered, issued and sold by the Company, and the filing fee associated therewith (which amount is based on the filing fee rate in effect at the time of the filing of the Prior Registration Statement) is hereby carried forward to be applied to the Unsold Securities, and no additional filing fee is due with respect to such Unsold Securities in connection with the filing of this Registration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415(a)(5) under the Securities Act, the Company intends to continue to offer and sell the Unsold Securities under the Prior Registration Statement until the earlier of (i) the date on which this Registration Statement is declared effective by the SEC and (ii) the date which is 180 days after the third-year anniversary of the effective date of the Prior Registration Statement (the “Expiration Date”). Until the Expiration Date, the Company may continue to use the Prior Registration Statement and related prospectus supplements for offerings thereunder. In accordance with Rule 415(a)(6), the effectiveness of this Registration Statement will be deemed to terminate the Prior Registration Statement.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2026, the Company effected a Reverse Stock Split (as defined below). This Amendment No. 1 is being filed, among other things, to reflect the Reverse Stock Split. This Amendment No. 1 contains the historical impact of the Reverse Stock Split including the basic and diluted net loss per share attributable to common stockholders for the years ended December 31, 2025 and 2024. </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JUNE 12, 2026</w:t>
      </w:r>
      <w:r>
        <w:rPr>
          <w:rFonts w:ascii="Times New Roman;Times;Serif" w:hAnsi="Times New Roman;Times;Serif"/>
          <w:b w:val="false"/>
          <w:i w:val="false"/>
          <w:caps w:val="false"/>
          <w:smallCaps w:val="false"/>
          <w:color w:val="FF0000"/>
          <w:sz w:val="20"/>
        </w:rPr>
        <w:t xml:space="preserve">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sz w:val="28"/>
        </w:rPr>
      </w:pPr>
      <w:r>
        <w:rPr>
          <w:rFonts w:ascii="Times New Roman;Times;serif" w:hAnsi="Times New Roman;Times;serif"/>
          <w:b/>
          <w:sz w:val="28"/>
        </w:rPr>
        <w:t>KALA BIO,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$350,000,000</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PREFERRED STOCK</w:t>
        <w:br/>
        <w:t>DEBT SECURITIES</w:t>
        <w:b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series or issuances and on terms that we will determine at the time of the offering, any combination of the securities described in this prospectus, up to an aggregate amount of $350,000,000.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See “Plan of Distribution.”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Capital Market (“Nasdaq”) under the symbol “KALA.” On June 10, 2026, the last reported sale price of our common stock was $2.39 per share as reported on Nasdaq. We recommend that you obtain current market quotations for our common stock prior to making an investment decision. We will provide information in any applicable prospectus supplement regarding any listing of securities other than shares of our common stock on any securities exchange.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carefully read this prospectus, any prospectus supplement relating to any specific offering of securities, and all information incorporated by reference herein and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These risks are discussed in this prospectus under “Risk Factors” beginning on page 8 and in the documents incorporated by reference in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________, 2026.</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5960"/>
        <w:gridCol w:w="60"/>
        <w:gridCol w:w="530"/>
      </w:tblGrid>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596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ii</w:t>
            </w:r>
          </w:p>
        </w:tc>
      </w:tr>
      <w:tr>
        <w:trPr/>
        <w:tc>
          <w:tcPr>
            <w:tcW w:w="5960" w:type="dxa"/>
            <w:tcBorders/>
            <w:shd w:fill="FFFFFF" w:val="clear"/>
            <w:vAlign w:val="center"/>
          </w:tcPr>
          <w:p>
            <w:pPr>
              <w:pStyle w:val="TableContents"/>
              <w:bidi w:val="0"/>
              <w:spacing w:before="0" w:after="283"/>
              <w:jc w:val="left"/>
              <w:rPr/>
            </w:pPr>
            <w:hyperlink w:anchor="a_002">
              <w:r>
                <w:rPr>
                  <w:rStyle w:val="InternetLink"/>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iii</w:t>
            </w:r>
          </w:p>
        </w:tc>
      </w:tr>
      <w:tr>
        <w:trPr/>
        <w:tc>
          <w:tcPr>
            <w:tcW w:w="5960" w:type="dxa"/>
            <w:tcBorders/>
            <w:shd w:fill="CCEEFF" w:val="clear"/>
            <w:vAlign w:val="center"/>
          </w:tcPr>
          <w:p>
            <w:pPr>
              <w:pStyle w:val="TableContents"/>
              <w:bidi w:val="0"/>
              <w:spacing w:before="0" w:after="283"/>
              <w:jc w:val="left"/>
              <w:rPr/>
            </w:pPr>
            <w:hyperlink w:anchor="a_003">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1</w:t>
            </w:r>
          </w:p>
        </w:tc>
      </w:tr>
      <w:tr>
        <w:trPr/>
        <w:tc>
          <w:tcPr>
            <w:tcW w:w="596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8</w:t>
            </w:r>
          </w:p>
        </w:tc>
      </w:tr>
      <w:tr>
        <w:trPr/>
        <w:tc>
          <w:tcPr>
            <w:tcW w:w="5960"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9</w:t>
            </w:r>
          </w:p>
        </w:tc>
      </w:tr>
      <w:tr>
        <w:trPr/>
        <w:tc>
          <w:tcPr>
            <w:tcW w:w="5960" w:type="dxa"/>
            <w:tcBorders/>
            <w:shd w:fill="FFFFFF" w:val="clear"/>
            <w:vAlign w:val="center"/>
          </w:tcPr>
          <w:p>
            <w:pPr>
              <w:pStyle w:val="TableContents"/>
              <w:bidi w:val="0"/>
              <w:spacing w:before="0" w:after="283"/>
              <w:jc w:val="left"/>
              <w:rPr/>
            </w:pPr>
            <w:hyperlink w:anchor="a_006">
              <w:r>
                <w:rPr>
                  <w:rStyle w:val="InternetLink"/>
                </w:rPr>
                <w:t>Description of Capital Stock</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10</w:t>
            </w:r>
          </w:p>
        </w:tc>
      </w:tr>
      <w:tr>
        <w:trPr/>
        <w:tc>
          <w:tcPr>
            <w:tcW w:w="5960" w:type="dxa"/>
            <w:tcBorders/>
            <w:shd w:fill="CCEEFF" w:val="clear"/>
            <w:vAlign w:val="center"/>
          </w:tcPr>
          <w:p>
            <w:pPr>
              <w:pStyle w:val="TableContents"/>
              <w:bidi w:val="0"/>
              <w:spacing w:before="0" w:after="283"/>
              <w:jc w:val="left"/>
              <w:rPr/>
            </w:pPr>
            <w:hyperlink w:anchor="a_007">
              <w:r>
                <w:rPr>
                  <w:rStyle w:val="InternetLink"/>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14</w:t>
            </w:r>
          </w:p>
        </w:tc>
      </w:tr>
      <w:tr>
        <w:trPr/>
        <w:tc>
          <w:tcPr>
            <w:tcW w:w="5960" w:type="dxa"/>
            <w:tcBorders/>
            <w:shd w:fill="FFFFFF" w:val="clear"/>
            <w:vAlign w:val="center"/>
          </w:tcPr>
          <w:p>
            <w:pPr>
              <w:pStyle w:val="TableContents"/>
              <w:bidi w:val="0"/>
              <w:spacing w:before="0" w:after="283"/>
              <w:jc w:val="left"/>
              <w:rPr/>
            </w:pPr>
            <w:hyperlink w:anchor="a_008">
              <w:r>
                <w:rPr>
                  <w:rStyle w:val="InternetLink"/>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21</w:t>
            </w:r>
          </w:p>
        </w:tc>
      </w:tr>
      <w:tr>
        <w:trPr/>
        <w:tc>
          <w:tcPr>
            <w:tcW w:w="5960" w:type="dxa"/>
            <w:tcBorders/>
            <w:shd w:fill="CCEEFF" w:val="clear"/>
            <w:vAlign w:val="center"/>
          </w:tcPr>
          <w:p>
            <w:pPr>
              <w:pStyle w:val="TableContents"/>
              <w:bidi w:val="0"/>
              <w:spacing w:before="0" w:after="283"/>
              <w:jc w:val="left"/>
              <w:rPr/>
            </w:pPr>
            <w:hyperlink w:anchor="a_009">
              <w:r>
                <w:rPr>
                  <w:rStyle w:val="InternetLink"/>
                </w:rPr>
                <w:t>Description of Subscription Rights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23</w:t>
            </w:r>
          </w:p>
        </w:tc>
      </w:tr>
      <w:tr>
        <w:trPr/>
        <w:tc>
          <w:tcPr>
            <w:tcW w:w="5960" w:type="dxa"/>
            <w:tcBorders/>
            <w:shd w:fill="FFFFFF" w:val="clear"/>
            <w:vAlign w:val="center"/>
          </w:tcPr>
          <w:p>
            <w:pPr>
              <w:pStyle w:val="TableContents"/>
              <w:bidi w:val="0"/>
              <w:spacing w:before="0" w:after="283"/>
              <w:jc w:val="left"/>
              <w:rPr/>
            </w:pPr>
            <w:hyperlink w:anchor="a_010">
              <w:r>
                <w:rPr>
                  <w:rStyle w:val="InternetLink"/>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25</w:t>
            </w:r>
          </w:p>
        </w:tc>
      </w:tr>
      <w:tr>
        <w:trPr/>
        <w:tc>
          <w:tcPr>
            <w:tcW w:w="5960"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26</w:t>
            </w:r>
          </w:p>
        </w:tc>
      </w:tr>
      <w:tr>
        <w:trPr/>
        <w:tc>
          <w:tcPr>
            <w:tcW w:w="5960" w:type="dxa"/>
            <w:tcBorders/>
            <w:shd w:fill="FFFFFF" w:val="clear"/>
            <w:vAlign w:val="center"/>
          </w:tcPr>
          <w:p>
            <w:pPr>
              <w:pStyle w:val="TableContents"/>
              <w:bidi w:val="0"/>
              <w:spacing w:before="0" w:after="283"/>
              <w:jc w:val="left"/>
              <w:rPr/>
            </w:pPr>
            <w:hyperlink w:anchor="a_012">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29</w:t>
            </w:r>
          </w:p>
        </w:tc>
      </w:tr>
      <w:tr>
        <w:trPr/>
        <w:tc>
          <w:tcPr>
            <w:tcW w:w="5960" w:type="dxa"/>
            <w:tcBorders/>
            <w:shd w:fill="CCEEFF" w:val="clear"/>
            <w:vAlign w:val="center"/>
          </w:tcPr>
          <w:p>
            <w:pPr>
              <w:pStyle w:val="TableContents"/>
              <w:bidi w:val="0"/>
              <w:spacing w:before="0" w:after="283"/>
              <w:jc w:val="left"/>
              <w:rPr/>
            </w:pPr>
            <w:hyperlink w:anchor="a_013">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180"/>
              <w:jc w:val="center"/>
              <w:rPr/>
            </w:pPr>
            <w:r>
              <w:rPr/>
              <w:t>29</w:t>
            </w:r>
          </w:p>
        </w:tc>
      </w:tr>
      <w:tr>
        <w:trPr/>
        <w:tc>
          <w:tcPr>
            <w:tcW w:w="5960" w:type="dxa"/>
            <w:tcBorders/>
            <w:shd w:fill="FFFFFF" w:val="clear"/>
            <w:vAlign w:val="center"/>
          </w:tcPr>
          <w:p>
            <w:pPr>
              <w:pStyle w:val="TableContents"/>
              <w:bidi w:val="0"/>
              <w:spacing w:before="0" w:after="283"/>
              <w:jc w:val="left"/>
              <w:rPr/>
            </w:pPr>
            <w:hyperlink w:anchor="a_014">
              <w:r>
                <w:rPr>
                  <w:rStyle w:val="InternetLink"/>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180"/>
              <w:jc w:val="center"/>
              <w:rPr/>
            </w:pPr>
            <w:r>
              <w:rPr/>
              <w:t>29</w:t>
            </w:r>
          </w:p>
        </w:tc>
      </w:tr>
      <w:tr>
        <w:trPr/>
        <w:tc>
          <w:tcPr>
            <w:tcW w:w="5960" w:type="dxa"/>
            <w:tcBorders/>
            <w:shd w:fill="CCEEFF" w:val="clear"/>
            <w:vAlign w:val="center"/>
          </w:tcPr>
          <w:p>
            <w:pPr>
              <w:pStyle w:val="TableContents"/>
              <w:bidi w:val="0"/>
              <w:spacing w:before="0" w:after="283"/>
              <w:jc w:val="left"/>
              <w:rPr/>
            </w:pPr>
            <w:hyperlink w:anchor="a_015">
              <w:r>
                <w:rPr>
                  <w:rStyle w:val="InternetLink"/>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30</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using a “shelf” registration process. Under this shelf process, we may, from time to time, sell any combination of the securities described in this prospectus in one or more offerings up to a total amount of $350,000,000.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to be attached to the front of this prospectus may describe, as applicable: the terms of the securities offered; the public offering price; the price paid for the securities; net proceeds; and the other specific terms related to the offering of the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“KALA,” the “Company,” “we,” “us,” “our,” or similar terms refer to KALA BIO, Inc. and its subsidiaries taken as a whole, except where the context otherwise requires or as otherwise indicated.</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Cautionary Statement Regarding Forward 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may contain or incorporate by reference forward-looking statements within the meaning of Section 27A of the Securities Act of 1933, as amended (the “Securities Act”), and Section 21E of the Securities Exchange Act of 1934, as amended (the “Exchange Act”). Such forward-looking statements are based upon management’s assumptions, expectations, projections, intentions and beliefs about future events. In some cases, predictive, future-tense or forward-looking words such as “intend,” “plan,” “predict,” “may,” “will,” “project,” “target,” “strategy,” “estimate,” “anticipate,” “believe,” “expect,” “continue,” “potential,” “opportunity,” “forecast,” “should” and similar expressions, whether in the negative or affirmative, that reflect our current views with respect to future events and operational, economic and financial performance are intended to identify such forward-looking statements, but are not the exclusive means of identifying such statements. Such forward-looking statements are only predictions, and actual results and the timing of certain events and circumstances may differ materially from those described by the forward-looking statements as a result of risks and uncertainties, including, without limitation: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plans and expectations regarding our pursuit of strategic options;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obtain additional financing;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monetize our assets;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continue as a going concern;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regain and maintain compliance with the Nasdaq listing standards;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retain our remaining employees, consultants, advisors;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resume research and development activities for our MSC-S platform if we were to execute a strategic transaction or obtain significant additional funding, and our ability to develop and commercialize the Researgency agentic AI research platform;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we were to resume research and development activities, development efforts for KPI-012 and KPI-014 for potential ocular diseases;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identify additional products, product candidates or technologies with significant commercial potential that are consistent with our commercial objectives;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plans and goals with respect to the AI platform business and the deployment of the Researgency agentic AI research platform, including the development of commercial arrangements with customers in the biotechnology and pharmaceutical industries;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we were to resume research and development activities, the rate and degree of market acceptance and clinical utility of our product candidates and our estimates regarding the market opportunity for our product candidates, if approved;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expectations regarding our ability to fund our operating expenses, lease and capital expenditure requirements with our cash on hand;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intellectual property position;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estimates regarding expenses, future revenue, timing of any future revenue, capital requirements and needs for additional financing;</w:t>
            </w:r>
          </w:p>
        </w:tc>
      </w:tr>
    </w:tbl>
    <w:p>
      <w:pPr>
        <w:pStyle w:val="TextBody"/>
        <w:bidi w:val="0"/>
        <w:spacing w:before="0" w:after="283"/>
        <w:jc w:val="left"/>
        <w:rPr/>
      </w:pPr>
      <w:r>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pPr>
            <w:r>
              <w:rPr/>
              <w:t>the impact of government laws and regulations;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55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540" w:type="dxa"/>
            <w:tcBorders/>
            <w:vAlign w:val="center"/>
          </w:tcPr>
          <w:p>
            <w:pPr>
              <w:pStyle w:val="TableContents"/>
              <w:bidi w:val="0"/>
              <w:spacing w:before="0" w:after="283"/>
              <w:jc w:val="both"/>
              <w:rPr/>
            </w:pPr>
            <w:r>
              <w:rPr/>
              <w:t>our competitive position;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55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540" w:type="dxa"/>
            <w:tcBorders/>
            <w:vAlign w:val="center"/>
          </w:tcPr>
          <w:p>
            <w:pPr>
              <w:pStyle w:val="TableContents"/>
              <w:bidi w:val="0"/>
              <w:spacing w:before="0" w:after="283"/>
              <w:jc w:val="both"/>
              <w:rPr/>
            </w:pPr>
            <w:r>
              <w:rPr/>
              <w:t>developments relating to our competitors and our industry;</w:t>
            </w:r>
          </w:p>
        </w:tc>
      </w:tr>
    </w:tbl>
    <w:p>
      <w:pPr>
        <w:pStyle w:val="TextBody"/>
        <w:bidi w:val="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135"/>
        <w:gridCol w:w="230"/>
        <w:gridCol w:w="9770"/>
      </w:tblGrid>
      <w:tr>
        <w:trPr/>
        <w:tc>
          <w:tcPr>
            <w:tcW w:w="135" w:type="dxa"/>
            <w:tcBorders/>
            <w:vAlign w:val="center"/>
          </w:tcPr>
          <w:p>
            <w:pPr>
              <w:pStyle w:val="TableContents"/>
              <w:bidi w:val="0"/>
              <w:spacing w:before="0" w:after="283"/>
              <w:jc w:val="both"/>
              <w:rPr/>
            </w:pPr>
            <w:r>
              <w:rPr/>
              <w:t xml:space="preserve">  </w:t>
            </w:r>
          </w:p>
        </w:tc>
        <w:tc>
          <w:tcPr>
            <w:tcW w:w="230" w:type="dxa"/>
            <w:tcBorders/>
            <w:vAlign w:val="center"/>
          </w:tcPr>
          <w:p>
            <w:pPr>
              <w:pStyle w:val="TableContents"/>
              <w:bidi w:val="0"/>
              <w:spacing w:before="0" w:after="283"/>
              <w:jc w:val="both"/>
              <w:rPr/>
            </w:pPr>
            <w:r>
              <w:rPr/>
              <w:t xml:space="preserve">● </w:t>
            </w:r>
          </w:p>
        </w:tc>
        <w:tc>
          <w:tcPr>
            <w:tcW w:w="9770" w:type="dxa"/>
            <w:tcBorders/>
            <w:vAlign w:val="center"/>
          </w:tcPr>
          <w:p>
            <w:pPr>
              <w:pStyle w:val="TableContents"/>
              <w:bidi w:val="0"/>
              <w:spacing w:before="0" w:after="283"/>
              <w:jc w:val="both"/>
              <w:rPr/>
            </w:pPr>
            <w:r>
              <w:rPr>
                <w:sz w:val="20"/>
              </w:rPr>
              <w:t>our business and business relationships; and</w:t>
            </w:r>
            <w:r>
              <w:rPr/>
              <w:t xml:space="preserve"> </w:t>
            </w:r>
          </w:p>
        </w:tc>
      </w:tr>
      <w:tr>
        <w:trPr/>
        <w:tc>
          <w:tcPr>
            <w:tcW w:w="135" w:type="dxa"/>
            <w:tcBorders/>
            <w:vAlign w:val="center"/>
          </w:tcPr>
          <w:p>
            <w:pPr>
              <w:pStyle w:val="TableContents"/>
              <w:bidi w:val="0"/>
              <w:spacing w:before="0" w:after="283"/>
              <w:jc w:val="both"/>
              <w:rPr/>
            </w:pPr>
            <w:r>
              <w:rPr/>
              <w:t xml:space="preserve">  </w:t>
            </w:r>
          </w:p>
        </w:tc>
        <w:tc>
          <w:tcPr>
            <w:tcW w:w="230" w:type="dxa"/>
            <w:tcBorders/>
            <w:vAlign w:val="center"/>
          </w:tcPr>
          <w:p>
            <w:pPr>
              <w:pStyle w:val="TableContents"/>
              <w:bidi w:val="0"/>
              <w:spacing w:before="0" w:after="283"/>
              <w:jc w:val="both"/>
              <w:rPr/>
            </w:pPr>
            <w:r>
              <w:rPr/>
              <w:t xml:space="preserve">  </w:t>
            </w:r>
          </w:p>
        </w:tc>
        <w:tc>
          <w:tcPr>
            <w:tcW w:w="9770" w:type="dxa"/>
            <w:tcBorders/>
            <w:vAlign w:val="center"/>
          </w:tcPr>
          <w:p>
            <w:pPr>
              <w:pStyle w:val="TableContents"/>
              <w:bidi w:val="0"/>
              <w:spacing w:before="0" w:after="283"/>
              <w:jc w:val="both"/>
              <w:rPr/>
            </w:pPr>
            <w:r>
              <w:rPr/>
              <w:t xml:space="preserve">  </w:t>
            </w:r>
          </w:p>
        </w:tc>
      </w:tr>
      <w:tr>
        <w:trPr/>
        <w:tc>
          <w:tcPr>
            <w:tcW w:w="135" w:type="dxa"/>
            <w:tcBorders/>
            <w:vAlign w:val="center"/>
          </w:tcPr>
          <w:p>
            <w:pPr>
              <w:pStyle w:val="TableContents"/>
              <w:bidi w:val="0"/>
              <w:spacing w:before="0" w:after="283"/>
              <w:jc w:val="both"/>
              <w:rPr/>
            </w:pPr>
            <w:r>
              <w:rPr/>
              <w:t xml:space="preserve">  </w:t>
            </w:r>
          </w:p>
        </w:tc>
        <w:tc>
          <w:tcPr>
            <w:tcW w:w="230" w:type="dxa"/>
            <w:tcBorders/>
            <w:vAlign w:val="center"/>
          </w:tcPr>
          <w:p>
            <w:pPr>
              <w:pStyle w:val="TableContents"/>
              <w:bidi w:val="0"/>
              <w:spacing w:before="0" w:after="283"/>
              <w:jc w:val="both"/>
              <w:rPr/>
            </w:pPr>
            <w:r>
              <w:rPr/>
              <w:t xml:space="preserve">● </w:t>
            </w:r>
          </w:p>
        </w:tc>
        <w:tc>
          <w:tcPr>
            <w:tcW w:w="9770" w:type="dxa"/>
            <w:tcBorders/>
            <w:vAlign w:val="center"/>
          </w:tcPr>
          <w:p>
            <w:pPr>
              <w:pStyle w:val="TableContents"/>
              <w:bidi w:val="0"/>
              <w:spacing w:before="0" w:after="283"/>
              <w:jc w:val="both"/>
              <w:rPr/>
            </w:pPr>
            <w:r>
              <w:rPr>
                <w:sz w:val="20"/>
              </w:rPr>
              <w:t>the potential impact of global economic and geopolitical developments on our business, operations, strategy and goals.</w:t>
            </w:r>
            <w:r>
              <w:rPr/>
              <w:t xml:space="preserve">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could cause actual results to differ materially from the results anticipated in these forward-looking statements are described in this prospectus, including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w:t>
      </w:r>
      <w:r>
        <w:rPr>
          <w:rFonts w:ascii="Times New Roman;Times;Serif" w:hAnsi="Times New Roman;Times;Serif"/>
          <w:b w:val="false"/>
          <w:i/>
          <w:caps w:val="false"/>
          <w:smallCaps w:val="false"/>
          <w:sz w:val="20"/>
        </w:rPr>
        <w:t>Part I, Item 1A. — Risk Factors</w:t>
      </w:r>
      <w:r>
        <w:rPr>
          <w:rFonts w:ascii="Times New Roman;Times;Serif" w:hAnsi="Times New Roman;Times;Serif"/>
          <w:b w:val="false"/>
          <w:i w:val="false"/>
          <w:caps w:val="false"/>
          <w:smallCaps w:val="false"/>
          <w:sz w:val="20"/>
        </w:rPr>
        <w:t>” of the Company’s Annual Report on Form 10-K for the fiscal year ended December 31, 2025, filed on April 15, 2026 and the risk factors described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applicable prospectus supplement.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We advise you to carefully review the reports and documents we file from time to time with the SEC, particularly our annual reports on Form 10-K, our quarterly reports on Form 10-Q and our current reports on Form 8-K. The Company cautions readers that the forward-looking statements included in, or incorporated by reference into, this prospectus represent our beliefs, expectations, estimates and assumptions only as of the date hereof and are not intended to give any assurance as to future results. New factors emerge from time to time, and it is not possible for us to predict all of these factors. Further, we cannot assess the effect of each such factor on our business or the extent to which any factor, or combination of factors, may cause actual results to be materially different from those contained in any forward-looking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the applicable prospectus supplement and any related free-writing prospectus and the documents incorporated by reference in this prospectus with the understanding that our actual future results, levels of activity, performance and events and circumstances may be materially different from what we expect. The forward-looking statements contained or incorporated by reference in this prospectus or any prospectus supplement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iv</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sz w:val="20"/>
          <w:bdr w:val="single" w:sz="8" w:space="5" w:color="000000"/>
        </w:rPr>
      </w:pPr>
      <w:bookmarkStart w:id="4" w:name="a_003"/>
      <w:bookmarkEnd w:id="4"/>
      <w:r>
        <w:rPr>
          <w:rFonts w:ascii="Times New Roman;Times;Serif" w:hAnsi="Times New Roman;Times;Serif"/>
          <w:b/>
          <w:i w:val="false"/>
          <w:caps/>
          <w:sz w:val="20"/>
          <w:bdr w:val="single" w:sz="8" w:space="5" w:color="000000"/>
        </w:rPr>
        <w:t>Prospectus Summary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notes thereto that are incorporated by reference in this prospectus. Some of the statements in this prospectus and the documents incorporated by reference herein constitute forward-looking statements that involve risks and uncertainties. See information set forth under the section “Cautionary Statement Regarding Forward-Looking Statements.”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biopharmaceutical company in transition, evaluating the development of a dedicated, on-premises artificial intelligence (AI) infrastructure platform for the biotechnology industry. Our current focus is leveraging our mesenchymal stem cell secretome (“MSC-S”) platform to test development of a scalable AI platform-as-a-service business to deploy secure, purpose-built AI systems directly within biotech and pharmaceutical client environments. We have historically been engaged in the research, development and commercialization of innovative therapies for rare and severe diseases of the front and back of the eye. Our lead product candidate was KPI-012, MSC-S, which we acquired from Combangio, Inc. (“Combangio”) on November 15, 2021. KPI-012 was in clinical development for the treatment of persistent corneal epithelial defects (“PCED”), a rare disease of impaired corneal healing. Based on the results of a Phase 1b clinical safety and efficacy trial of KPI-012 in patients with PCED, we submitted an investigational new drug application to the U.S. Food and Drug Administration (“FDA”), which was accepted in December 2022. In February 2023, we dosed our first patient in the United States in our CHASE (Corneal Healing After SEcretome therapy) Phase 2b clinical trial of KPI-012 for PCED (the “CHASE trial”). By September 2025, the CHASE trial did not meet its primary endpoints, and we determined to discontinue our development of KPI-012 and the MSC-S platform. We have since expanded upon our business to evaluate strategic alternatives for our legacy MSC-S assets and capitalize on the substantial intellectual property (IP), proprietary biological datasets, and research experience generated during the clinical trials by starting development of an AI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We are in the process of evaluating and transitioning from historical biologics research and development (R&amp;D) activities to an “AI platform-as-a-service” model intended to provide dedicated, on-premises artificial intelligence infrastructure solutions to biotechnology and pharmaceutical customers. Following the discontinuation of the CHASE Phase 2b clinical trial of KPI-012 in September 2025 and the subsequent resolution of our obligations to Oxford Finance, our current operating focus is (i) the monetization or out-licensing of remaining biologics-related assets and (ii) development and commercialization planning for our licensed Researgency agentic AI platform (the “Researgency Platform”). This transition is expected to impact our operating expenses, capital requirements, and sources and uses of cash as described further below.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We have refocused our business on two complementary strategic priorities. First, we are preserving and seeking to maximize the value of our MSC-S biologics asset portfolio, including the KPI-012 and KPI-014 product candidates and related intellectual property, through potential licensing, collaboration, and other strategic arrangements with third parties, as well as through evaluation of opportunities to resume preclinical development activities subject to the availability of additional capital. Second, we are building our Researgency business through our exclusive license for the Researgency Platform, which we intend to deploy as a dedicated, on-premises AI infrastructure solution for biotechnology and pharmaceutical companies. We believe this dual-track strategy preserves and creates optionality with respect to our biologics assets while simultaneously pursuing a potential business opportunity in the rapidly growing AI platform market for the biotechnology industry.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March 3, 2026, we entered into an exclusive license for the Researgency AI research platform (“Researgency”) from Younet AI (“Younet”), through which we intend to test and assess the feasibility of offering a dedicated AI infrastructure partner for the biotechnology industry. Our goal is to enable companies of all sizes to unlock the value of their proprietary biological data without surrendering control of it through the development of a specialized agentic AI research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Suspension of Clinical Trial</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September 28, 2025, the board of directors of the Company (the “Board”) determined to cease development of KPI-012 and the MSC-S platform because the CHASE trial did not meet the primary endpoint of complete healing of PCED as measured by corneal fluorescein staining. The CHASE trial also failed to achieve statistical significance for key secondary efficacy endpoints, with no meaningful difference observed between either KPI-012 treatment arm and the placebo arm. In connection with such decision, we implemented a reduction in our workforce of approximately 19 employees, or approximately 51%.</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Younet AI Licensing Agreement and the Researgency Platform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Following the decision to suspend the CHASE trial, and as part of our strategic transition, on March 3, 2026, we entered into an exclusive licensing agreement with Younet (the “Younet License Agreement”), pursuant to which we secured worldwide exclusive rights to Researgency, specifically adapted for biotechnology applications. Under our license for Researgency, we plan to evaluate whether the platform can be configured to support biotechnology research workflows and data-governance requirements. Specific technical configurations and commercialization plans, including pricing and service levels, remain under development and subject to customer requirements and applicable laws and guidance.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strategy is to pursue two complementary business lines: (i) the monetization of a proprietary biologics asset portfolio centered on the Company’s MSC-S platform and its associated IP, and (ii) the development of the Researgency business, through which the Company intends to deploy Researgency to provide a dedicated, on-premises AI infrastructure solution for biotechnology and pharmaceutical companies. Key elements of our current strategy include: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Preserve and seek to monetize our MSC-S biologics asset portfolio. We are preserving our MSC-S platform intellectual property, including the KPI-012 and KPI-014 product candidates and related patents and know-how, and are evaluating strategic options with respect to those assets, including licensing, sale, out-licensing, collaboration, and other arrangements with one or more third parties. We may evaluate preclinical activities in the future if we secure additional funding and identify suitable development partners. We do not have any ongoing clinical trials as of the date of this filing.</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Develop and aim to deploy Researgency as a dedicated biotechnology industry solution. Through our exclusive license for Researgency, we intend to serve as a dedicated AI infrastructure partner for biotechnology and pharmaceutical companies. Researgency is designed for on-premises deployment within client environments, enabling customers to leverage advanced AI capabilities while maintaining complete control over their proprietary biological data and intellectual property. We also intend to offer the platform on a platform-as-a-service basis, together with implementation support, maintenance subscriptions, and data analytics services, targeting mid-size biotechnology companies, contract research organizations, and pharmaceutical companies as our primary customer base. Any commercialization, pricing and feature set remain subject to further development, validation, applicable regulatory compliance and customer demand.</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Evaluate Researgency using our proprietary KPI-012 research dataset. As an initial step toward potential commercialization of Researgency, we intend to use our accumulated KPI-012 clinical development dataset, which includes data from 79 patients across 37 clinical trial sites together with related regulatory submission materials, as a proof-of-concept validation environment. This self-validation approach is designed to generate reference case studies and to refine platform capabilities using real-world biotechnology research data prior to commercial deployment with external customers. There can be no assurance that these efforts will identify commercially actionable opportunities.</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Pursue strategic arrangements across both business lines. We plan to pursue value-driven strategic transactions across both our biologics portfolio and our Researgency business, which may include licensing.</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 xml:space="preserve">Reverse Stock Split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7, 2026, we filed a Certificate of Amendment (the “Certificate of Amendment”) to the Company’s Restated Certificate of Incorporation (as amended, the “Certificate of Incorporation”) with the Secretary of State of Delaware to effect a 1-for-50 reverse stock split of the shares of our common stock, either issued and outstanding or held by the Company as treasury stock (the “Reverse Stock Split”), effective as of 4:05 p.m. (Delaware time) on May 8, 2026 (the “Effective Time”). As previously reported, the Company held a special meeting of stockholders on January 30, 2026 (the “Special Meeting”), at which Special Meeting the Company’s stockholders approved the Certificate of Amendment to effect a reverse stock split of our common stock at a ratio in the range of 1-for-2 to 1-for-100, with such ratio to be determined by our Board of Directors (the “Board”) and included in a public announcement. The Board determined to effect the Reverse Stock Split at a ratio of 1-for-50 and approved the corresponding final form of the Certificate of Amendment.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As a result of the Reverse Stock Split, every 50 shares of issued and outstanding common stock at 4:05 p.m. (Delaware Time) on May 8, 2026, was automatically combined into one issued and outstanding share of common stock, without any change in the par value per share. No fractional shares were issued as a result of the Reverse Stock Split. Stockholders that would hold fractional shares as a result of the Reverse Stock Split were entitled to receive a cash payment in lieu of said fractional shares based on the closing price on the Nasdaq Capital Market on May 7, 2026. The Reverse Stock Split reduced the number of shares of Common Stock outstanding from 929,491,578 shares to 18,589,787 shares. The number of authorized shares of Common Stock under the Certificate of Incorporation remained unchanged at 1,500,000,000 shares.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Common Stock began trading on a Reverse Stock Split-adjusted basis on the Nasdaq Capital Market on May 11, 2026. The trading symbol for the Common Stock remained “KALA.” The new CUSIP number for the Common Stock following the Reverse Stock Split is 483119301.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in this prospectus relating to our common stock, including share counts, per share amounts, exercise prices and share reserves, is presented on a pre–Reverse Stock Split basis and has not been adjusted to reflect the Reverse Stock Split. Subsequent SEC filings after the Effective Time may reflect post–Reverse Stock Split amounts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Unaudited Financial Information</w:t>
      </w:r>
      <w:r>
        <w:rPr>
          <w:rFonts w:ascii="Times New Roman;Times;Serif" w:hAnsi="Times New Roman;Times;Serif"/>
          <w:b w:val="false"/>
          <w:i w:val="false"/>
          <w:caps w:val="false"/>
          <w:smallCaps w:val="false"/>
          <w:sz w:val="20"/>
          <w:bdr w:val="single" w:sz="8" w:space="5" w:color="000000"/>
        </w:rPr>
        <w:t xml:space="preserve">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impact of the Reverse Stock Split included herein has been prepared, without audit, pursuant to the rules and regulations of the SEC. Accordingly, this information should be read in conjunction with the financial statements and notes thereto included in the Company’s Annual Report on Form 10-K for the fiscal year ended December 31, 2025 (the “Annual Report”).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unaudited information includes the accounts of KALA BIO, Inc. and its wholly owned subsidiaries, Kala Pharmaceuticals Security Corporation and Combangio, Inc. (“Combangio”). All intercompany transactions and balances have been eliminated in consolidation.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Summary of Relevant Reverse Stock Split Information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xml:space="preserve">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As a result of the Reverse Stock Split, every 50 shares of issued and outstanding common stock was combined into one issued and outstanding share of common stock, without any change in the par value per share. Below is the historical impact on the Loss Per-Share for the years-ended December 31, 2025 and 2024. As a result of the Reverse Stock Split, the number of common shares outstanding as of December 31, 2024, December 31, 2025 and June 9, 2026 were 121,824, 556,995 and 18,589,787, respectively.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120" w:after="12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Basic and diluted net loss per share attributable to common stockholders was calculated as follows for the years ended December 31, 2025 and 2024: </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8285" w:type="dxa"/>
        <w:jc w:val="left"/>
        <w:tblInd w:w="0" w:type="dxa"/>
        <w:tblLayout w:type="fixed"/>
        <w:tblCellMar>
          <w:top w:w="0" w:type="dxa"/>
          <w:left w:w="0" w:type="dxa"/>
          <w:bottom w:w="0" w:type="dxa"/>
          <w:right w:w="0" w:type="dxa"/>
        </w:tblCellMar>
      </w:tblPr>
      <w:tblGrid>
        <w:gridCol w:w="6005"/>
        <w:gridCol w:w="120"/>
        <w:gridCol w:w="170"/>
        <w:gridCol w:w="740"/>
        <w:gridCol w:w="125"/>
        <w:gridCol w:w="120"/>
        <w:gridCol w:w="170"/>
        <w:gridCol w:w="695"/>
        <w:gridCol w:w="140"/>
      </w:tblGrid>
      <w:tr>
        <w:trPr/>
        <w:tc>
          <w:tcPr>
            <w:tcW w:w="600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 xml:space="preserve">December 31, </w:t>
            </w:r>
          </w:p>
        </w:tc>
        <w:tc>
          <w:tcPr>
            <w:tcW w:w="140"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600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2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w:t>
            </w:r>
          </w:p>
        </w:tc>
        <w:tc>
          <w:tcPr>
            <w:tcW w:w="140"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600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tc>
        <w:tc>
          <w:tcPr>
            <w:tcW w:w="140" w:type="dxa"/>
            <w:tcBorders/>
            <w:vAlign w:val="center"/>
          </w:tcPr>
          <w:p>
            <w:pPr>
              <w:pStyle w:val="TableContents"/>
              <w:bidi w:val="0"/>
              <w:spacing w:before="0" w:after="283"/>
              <w:ind w:left="0" w:right="0" w:hanging="180"/>
              <w:jc w:val="center"/>
              <w:rPr>
                <w:caps w:val="false"/>
                <w:smallCaps w:val="false"/>
              </w:rPr>
            </w:pPr>
            <w:r>
              <w:rPr>
                <w:caps w:val="false"/>
                <w:smallCaps w:val="false"/>
              </w:rPr>
              <w:t xml:space="preserve">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Numerator: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attributable to common stockholders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(26,980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(38,511 </w:t>
            </w:r>
          </w:p>
        </w:tc>
        <w:tc>
          <w:tcPr>
            <w:tcW w:w="14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Denominator: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basic and diluted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162,966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75,921 </w:t>
            </w:r>
          </w:p>
        </w:tc>
        <w:tc>
          <w:tcPr>
            <w:tcW w:w="14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600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per share attributable to common stockholders, basic and diluted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(165.56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(507.25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rFonts w:ascii="Times New Roman;Times;Serif" w:hAnsi="Times New Roman;Times;Serif"/>
                <w:sz w:val="20"/>
              </w:rPr>
              <w:t>(1)</w:t>
            </w:r>
            <w:r>
              <w:rPr/>
              <w:t xml:space="preserve"> </w:t>
            </w:r>
          </w:p>
        </w:tc>
        <w:tc>
          <w:tcPr>
            <w:tcW w:w="9935" w:type="dxa"/>
            <w:tcBorders/>
            <w:vAlign w:val="center"/>
          </w:tcPr>
          <w:p>
            <w:pPr>
              <w:pStyle w:val="TableContents"/>
              <w:bidi w:val="0"/>
              <w:spacing w:before="0" w:after="283"/>
              <w:jc w:val="both"/>
              <w:rPr/>
            </w:pPr>
            <w:r>
              <w:rPr>
                <w:rFonts w:ascii="Times New Roman;Times;Serif" w:hAnsi="Times New Roman;Times;Serif"/>
                <w:sz w:val="20"/>
              </w:rPr>
              <w:t>Included in the weighted-average common shares outstanding, basic and diluted are vested but deferred shares for which all contingencies have been satisfied. Number of shares, and per share information have been retroactively adjusted to reflect the impact of the Reverse Stock Split.</w:t>
            </w:r>
            <w:r>
              <w:rPr/>
              <w:t xml:space="preserve"> </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following potential common stock equivalents were excluded from the calculation of diluted net loss per share attributable to common stockholders for the periods indicated because including them would have had an anti-dilutive effect. The share amounts presented below represent the average of the number of incremental shares included in each quarterly calculation: </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7140" w:type="dxa"/>
        <w:jc w:val="left"/>
        <w:tblInd w:w="0" w:type="dxa"/>
        <w:tblLayout w:type="fixed"/>
        <w:tblCellMar>
          <w:top w:w="0" w:type="dxa"/>
          <w:left w:w="0" w:type="dxa"/>
          <w:bottom w:w="0" w:type="dxa"/>
          <w:right w:w="0" w:type="dxa"/>
        </w:tblCellMar>
      </w:tblPr>
      <w:tblGrid>
        <w:gridCol w:w="4925"/>
        <w:gridCol w:w="120"/>
        <w:gridCol w:w="120"/>
        <w:gridCol w:w="740"/>
        <w:gridCol w:w="120"/>
        <w:gridCol w:w="120"/>
        <w:gridCol w:w="120"/>
        <w:gridCol w:w="740"/>
        <w:gridCol w:w="135"/>
      </w:tblGrid>
      <w:tr>
        <w:trPr/>
        <w:tc>
          <w:tcPr>
            <w:tcW w:w="492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9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 xml:space="preserve">December 31, </w:t>
            </w:r>
          </w:p>
        </w:tc>
        <w:tc>
          <w:tcPr>
            <w:tcW w:w="135"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492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w:t>
            </w:r>
          </w:p>
        </w:tc>
        <w:tc>
          <w:tcPr>
            <w:tcW w:w="135"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492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9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tc>
        <w:tc>
          <w:tcPr>
            <w:tcW w:w="135" w:type="dxa"/>
            <w:tcBorders/>
            <w:vAlign w:val="center"/>
          </w:tcPr>
          <w:p>
            <w:pPr>
              <w:pStyle w:val="TableContents"/>
              <w:bidi w:val="0"/>
              <w:spacing w:before="0" w:after="283"/>
              <w:ind w:left="0" w:right="0" w:hanging="180"/>
              <w:jc w:val="center"/>
              <w:rPr>
                <w:caps w:val="false"/>
                <w:smallCaps w:val="false"/>
              </w:rPr>
            </w:pPr>
            <w:r>
              <w:rPr>
                <w:caps w:val="false"/>
                <w:smallCaps w:val="false"/>
              </w:rPr>
              <w:t xml:space="preserve">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to purchase shares of common stock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27,466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18,113 </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Unvested RSUs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7,201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12,438 </w:t>
            </w:r>
          </w:p>
        </w:tc>
        <w:tc>
          <w:tcPr>
            <w:tcW w:w="13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Unexercised warrants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preferred stock (as converted to common stock)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368,660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145,883 </w:t>
            </w:r>
          </w:p>
        </w:tc>
        <w:tc>
          <w:tcPr>
            <w:tcW w:w="13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xml:space="preserve">  </w:t>
            </w:r>
          </w:p>
        </w:tc>
      </w:tr>
      <w:tr>
        <w:trPr/>
        <w:tc>
          <w:tcPr>
            <w:tcW w:w="49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403,388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176,518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720" w:right="0" w:hanging="36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 Smaller Reporting Company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smaller reporting company as defined in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under the laws of the State of Delaware in July 2009. On August 2, 2023, we changed our name from Kala Pharmaceuticals, Inc. to KALA BIO, Inc. Our principal executive offices are located at 1167 Massachusetts Avenue, Arlington, MA 02476, and our telephone number is (781) 996-5252. Our website address is www.kalarx.com. Information contained on, or that can be accessed through, our website is not and shall not be deemed to be a part of this prospectus or incorporated by reference hereto. Through our website, we will make available, free of charge, our Annual Report on Form 10-K, Quarterly Reports on Form 10-Q, Current Reports on Form 8-K and any amendments to these reports, as soon as reasonably practicable after such material is electronically filed with, or furnished to, the SEC.</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Securities We May Offer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offer up to $350,000,000 of common stock, preferred stock, various series of debt securities, warrants, units and/or subscription rights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Common Stock</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shares of our common stock from time to time. Holders of our common stock are entitled to receive ratably dividends as may be declared by the Board out of funds legally available for that purpose. We have never paid cash dividends on our common stock and do not anticipate paying any cash dividends in the foreseeable future but intend to retain our capital resources for reinvestment in our business.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Each share of common stock entitles the holder to one vote, either in person or by proxy, at meetings of stockholders. The holders are not permitted to vote their shares cumulatively. Each election of directors by our stockholders will be determined by a plurality of the votes cast by the stockholders entitled to vote on the election. Other than the election of directors, all matters submitted to a vote of stockholders require the affirmative vote of a majority of the votes cast by the stockholders at the meeting and entitled to vote on the subject matter, voting affirmatively or negatively (excluding abstentions and broker non-votes) to authorize, affirm, ratify or consent to such act or action, except as otherwise provided by our Certificate of Incorporation, our Third Amended and Restated By-Laws (the “Bylaws”), the rules or regulations of any stock exchange applicable to us, applicable law or pursuant to any regulation applicable to us or our securities.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Holders of our common stock have no preemptive rights or other subscription rights, conversion rights, redemption or sinking fund provisions. Subject to the rights of the holders of our preferred stock, upon our liquidation, dissolution or winding up, the holders of our common stock will be entitled to share ratably in the net assets legally available for distribution to stockholders after the payment of all of our debts and other liabilities. The rights, preferences and privileges of holders of our common stock are subject to, and may be adversely affected by, the rights of the holders of any series of preferred stock, which may be designated solely by action of the Board and issued in the future.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Preferred Stock</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shares of our preferred stock from time to time, in one or more series. The Board will determine the rights, preferences, privileges and restrictions of the preferred stock, including dividend rights, conversion rights, voting rights, terms of redemption, liquidation preferences, sinking fund terms and the number of shares constituting any series or the designation of such series, without any further vote or action by stockholders. Convertible preferred stock will be convertible into our common stock or exchangeable for our other securities. Conversion may be mandatory, at the option of the holder, or both and would be at prescribed conversion rates. If we sell any series of preferred stock under this prospectus and applicable prospectus supplements, we will fix the rights, preferences, privileges and restrictions of the preferred stock of such series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the related series of preferred stock. We urge you to read the applicable prospectus supplement related to the series of preferred stock being offered, as well as the complete certificate of designation that contains the terms of the applicable series of preferred stock.</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a description of the Series AA Preferred Stock, see “Description of Capital Stock” on page 10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Debt Securities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Warrants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warrants for the purchase of common stock or preferred stock in one or more series. We may issue warrants independently or together with common stock or preferred stock, and the warrants may be attached to or separate from these securities. We will evidence each series of warrants by warrant certificates that we will issue under a separate agreement. We may enter into warrant agreements with a bank or trust company that we select to be our warrant agent. We will indicate the name and address of the warrant agent in the applicable prospectus supplement relating to a particular series of warrants.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this prospectus, we have summarized certain general features of the warrants. We urge you, however, to read the applicable prospectus supplement related to the particular series of warrants being offered, as well as the warrant agreements and warrant certificates that contain the terms of the warrants. We will file as exhibits to the registration statement of which this prospectus is a part, or will incorporate by reference from reports that we file with the SEC, the form of warrant agreement or warrant certificate containing the terms of the warrants we are offering before the issuance of the warrants.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Subscription Rights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subscription rights to purchase shares of our common stock or other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We will file as exhibits to the registration statement of which this prospectus is a part, or will incorporate by reference reports that we file with the SEC, the form of such agreement and any supplemental agreements that describe the terms of the subscription rights we are offering before the issuance of such subscription rights.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Units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issue units consisting of common stock, preferred stock, debt securities, and/or warrants for the purchase of common stock or preferred stock in one or more series. In this prospectus, we have summarized certain general features of the units. We urge you, however, to read the applicable prospectus supplement related to the series of units being offered, as well as the unit agreements that contain the terms of the units. We will file as exhibits to the registration statement of which this prospectus is a part, or will incorporate by reference reports that we file with the SEC, the form of unit agreement and any supplemental agreements that describe the terms of the series of units we are offering before the issuance of the related series of units.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Before deciding whether to invest in our securities, you should consider carefully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 Item 1A, “Risk Factors,” in our most recent Annual Report on Form 10-K or any updates in our Quarterly Reports on Form 10-Q, which are incorporated herein by reference, as updated or superseded by the risks and uncertainties described under similar headings in the other documents that are filed after the date hereof and incorporated by reference into this prospectus and any prospectus supplement related to a particular offering.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product development and manufacturing, sales and marketing and working capital and other general corporate purposes. We have not determined the amounts we plan to spend on any of the areas listed above or the timing of these expenditures. As a result, our management will have broad discretion over the allocation of net proceeds, if any, we receive in connection with securities offered pursuant to this prospectus for any purpose. We may initially invest the net proceeds in short-term, investment-grade, interest-bearing securities or apply them to the reduction of short-term indebtedness.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Description of Capital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common stock and preferred stock summarizes the material terms and provisions of the common stock and preferred stock that we may offer under this prospectus, but is not complete. For the complete terms of our common stock and preferred stock, please refer to our Certificate of Incorporation and Bylaws and any certificates of designation for our preferred stock. While the terms we have summarized below will apply generally to any future common stock or preferred stock that we may offer, we will describe the specific terms of any series of preferred stock in more detail in the applicable prospectus supplement. If we so indicate in a prospectus supplement, the terms of any preferred stock we offer under that prospectus supplement may differ from the terms we describe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 us to issue 1,500,000,000 shares of common stock, $0.001 par value per share, and 5,000,000 shares of preferred stock, par value $0.001 per share, which may be issued from time to time in one or more series, each of which will have such distinctive designation or title as shall be determined by the Board prior to the issuance of any shares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proportionately any dividends as may be declared by the Board, subject to any preferential dividend rights of outstanding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liquidation or dissolution, the holders of our common stock rank junior to holders of our Series AA Preferred Stock, and are entitled to receive proportionately all assets available for distribution to stockholders after the payment of all debts and other liabilities and following any distributions to holders of our Series AA Preferred Stock. Holders of our common stock have no preemptive, subscription, redemption or conversion rights. No sinking fund provisions are applicable to our common stock. The rights, preferences and privileges of holders of our common stock are subject to and may be adversely affected by the rights of the holders of shares of any series of our preferred stock that we may designate and issue in the future. All outstanding shares of our common stock are validly authorized and issued, fully paid and nonassessable.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 The transfer agent’s address is 28 Liberty Street, Floor 53, New York, NY 10005. Our common stock is listed on Nasdaq under the symbol “KALA.”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to issue 5,000,000 shares of preferred stock without further action by the holders of common stock. The shares of preferred stock may be issued from time to time in one or more series, each of which will have such distinctive designation or title as shall be determined by the Board prior to the issuance of any shares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such series and the designation thereof, or any of the foregoing.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AA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designated 900,000 shares of preferred stock as Series AA Convertible Non-Redeemable Preferred Stock, par value $0.001 (the “Series AA Preferred Stock”). The following are the principal terms of the Series AA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If the Board declares a dividend or other distribution on the Company’s common stock (the “Common Stock”), payable in cash, in kind, or in other securities or property (other than dividends payable in shares of Common Stock), holders of the Series AA Preferred Stock are entitled to receive “Participating Dividends” in an amount equal to the dividends that would have been payable on the number of shares of Common Stock into which such holder’s Series AA Preferred Stock could be converted as of the applicable record date (or, if no record date is established, as of the date of such dividend), determined without regard to any restrictions on conversion. Participating Dividends are payable at the same time as dividends on the Common Stock are paid.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The Series AA Preferred Stock has no voting rights, except as required by law (including without limitation, the DGCL). However, so long as any shares of Series AA Preferred Stock are outstanding, the Company may not take certain actions without the approval of the holders of a majority of the then-outstanding Series AA Preferred Stock (the “Requisite Holders”), including: (i) adverse amendments to the Certificate of Designations, (ii) certain adverse amendments to the Certificate of Incorporation or Bylaws (or filing of a new preferred certificate of designations) that adversely affects the Series AA Preferred Stock, (iii) increasing or decreasing (other than by conversion) the authorized number of shares of Series AA Preferred Stock, or (iv) entering into an agreement to do any of the foregoing.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under the DGCL the vote of holders of Series AA Preferred Stock, voting separately as a class or series as applicable, is required to authorize a given action of the Company, the affirmative vote or consent of the Requisite Holders of Series AA Preferred Stock, represented at a duly held meeting at which a quorum is present or by written consent of the Required Holders, voting together in the aggregate and not in separate series (in each instance, except as otherwise may be required under the DGCL), shall constitute the approval of such action by both the class or the series, as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The Series AA Preferred Stock ranks (i) senior to the Common Stock and any “Junior Securities” (as defined in the Certificate of Designations), (ii) on parity with any “Parity Securities” (as defined in the Certificate of Designations) and (iii) junior to any “Senior Securities (as defined in the Certificate of Designations”). Subject to the prior and superior rights of the holders of any Senior Securities, upon a dissolution, each holder of Series AA Preferred Stock is entitled to receive, prior and in preference to any distributions to holders of Common Stock. Upon any liquidation, dissolution or winding-up of the Company, whether voluntary or involuntary, each holder of the Series AA Preferred Stock shall be entitled to receive out of the assets, whether capital or surplus, of the Company an amount per share of Series AA Preferred Stock equal to the greater of (A) the stated value of such share of Series AA Preferred Stock (plus any dividends declared but unpaid on such share of Series AA Preferred Stock) on the date of such payment and (B) the amount per share such holder would receive if such holder converted such Series AA Preferred Stock into common stock immediately prior to the date of such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The Series AA Preferred Stock is convertible into shares of common stock at the election of the holder at any time at an initial conversion price of $1.818(the “Series AA Conversion Price”). The Series AA Conversion Price is subject to customary adjustments for stock dividends, stock splits, reclassifications and the like.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Delaware Law, Our Certificate of Incorporation and Bylaws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authorized but unissued shares of preferred stock may enable the Board to render more difficult or to discourage an attempt to gain control of the Company by means of a merger, tender offer, proxy contest or otherwise. For example, if in the due exercise of its fiduciary obligations, the Board were to determine that a takeover proposal is not in the best interests of the Company or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Certificate of Incorporation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Special Meeting of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stockholders of the Corporation may not take any action by written consent in lieu of a meeting. The Bylaws similarly provide that, except as otherwise provided by the Certificate of Incorporation, stockholders may not take any action by consent in lieu of a meeting of stockholders. The Certificate of Incorporation and Bylaws further provide that special meetings of stockholders for any purpose or purposes may be called at any time by only the Board, the Chairman of the Board or the Chief Executive Officer, and may not be called by any other persons.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 which relate to business combinations with interested stockholders, applies to the Company. Subject to certain exceptions, Section 203 prevents a publicly held Delaware corporation from engaging in a “business combination” with any “interested stockholder” for three years following the date that such person became an interested stockholder, unless either the interested stockholder attained such status with the approval of the Board, the business combination is approved by the Board and stockholders in a prescribed manner or the interested stockholder acquired at least 85% of the Company’s outstanding voting stock in the transaction in which such person became an interested stockholder. A “business combination” includes, among other things, a merger or consolidation involving the Company and the “interested stockholder” and the sale of more than 10% of the Company’s assets. In general, an “interested stockholder” is any entity or person beneficially owning 15% or more of the Company’s outstanding voting stock and any entity or person affiliated with or controlling or controlled by such entity or person.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Bylaws provide that stockholders seeking to bring business before an annual meeting of stockholders, or to nominate candidates for election as directors at an annual meeting of stockholders, must meet specified procedural requirements. These provisions may preclude stockholders from bringing matters before an annual meeting of stockholders or from making nominations for directors at an annual or special meeting of stockholders.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Forum Charter Provision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unless the Company consents in writing to the selection of an alternative forum, the Court of Chancery of the State of Delaware shall, to the fullest extent permitted by law, be the sole and exclusive forum for: (i) any derivative action or proceeding brought on behalf of the Company, (ii) any action asserting a claim of breach of a fiduciary duty owed by any director, officer, other employee or stockholder of the Company to the Company or its stockholders, (iii) any action asserting a claim arising pursuant to any provision of the DGCL or as to which the DGCL confers jurisdiction on the Court of Chancery of the State of Delaware, or (iv) any action asserting a claim arising pursuant to any provision of the Certificate of Incorporation or the Bylaws or governed by the internal affairs doctrine. The Company notes that there is uncertainty as to whether a court would enforce the provision and that investors cannot waive compliance with the federal securities laws and the rules and regulations thereunder. Although the Company believes this provision benefits the Company by providing increased consistency in the application of Delaware law in the types of lawsuits to which it applies, the provision may have the effect of discouraging lawsuits against the Company’s directors and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Liability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limits the personal liability of directors to the Company or its stockholders for monetary damages for breach of fiduciary duty as a director to the maximum extent permitted by the DGCL and provides that no director will have personal liability to the Company or to its stockholders for monetary damages for breach of fiduciary duty. However, these provisions do not eliminate or limit the liability of any of the Company’s directors: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any breach of the director’s duty of loyalty to the Company or its stockholders;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under the DGCL;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any transaction from which the director derived an improper personal benefit.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title or designation;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aggregate principal amount and any limit on the amount that may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currency or units based on or relating to currencies in which debt securities of such series are denominated and the currency or units in which principal or interest or both will or may be payable;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we will issue the series of debt securities in global form, the terms of any global securities and who the depositary will be;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maturity date and the date or dates on which principal will be payable;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bl>
    <w:p>
      <w:pPr>
        <w:pStyle w:val="TextBody"/>
        <w:bidi w:val="0"/>
        <w:spacing w:before="0" w:after="283"/>
        <w:jc w:val="left"/>
        <w:rPr/>
      </w:pPr>
      <w:r>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pPr>
            <w:r>
              <w:rPr/>
              <w:t>whether or not the debt securities will be secured or unsecured, and the terms of any secured debt;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terms of the subordination of any series of subordinated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place or places where payments will be payable;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right, if any, to defer payment of interest and the maximum length of any such deferral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 if any, after which, and the price at which, we may, at our option, redeem the series of debt securities pursuant to any optional redemption provisions;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 if any, on which, and the price at which we are obligated, pursuant to any mandatory sinking fund provisions or otherwise, to redeem, or at the holder’s option to purchase, the series of debt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the indenture will restrict our ability to pay dividends, or will require us to maintain any asset ratios or reserves;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we will be restricted from incurring any additional indebtedness;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discussion of any material or special U.S. federal income tax considerations applicable to a series of debt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other specific terms, preferences, rights or limitations of, or restrictions on, the debt securities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 No Protection in Event of a Change of Control or Highly Leveraged Transaction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pay interest when due and our failure continues for 90 days and the time for payment has not been extended or deferred;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pay the principal, or premium, if any, when due and the time for payment has not been extended or delayed;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specified events of bankruptcy, insolvency or reorganization occur as to us.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pPr>
            <w:r>
              <w:rPr/>
              <w:t>the direction so given by the holder is not in conflict with any law or the applicable indenture;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holder previously has given written notice to the debenture trustee of a continuing event of default with respect to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fix any ambiguity, defect or inconsistency in the indenture;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change anything that does not materially adversely affect the interests of any holder of debt securities of any series issued pursuant to such indenture.</w:t>
            </w:r>
          </w:p>
        </w:tc>
      </w:tr>
    </w:tbl>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extending the fixed maturity of the series of debt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principal amount, reducing the rate of or extending the time of payment of interest, or any premium payable upon the redemption of any debt securities;</w:t>
            </w:r>
          </w:p>
        </w:tc>
      </w:tr>
    </w:tbl>
    <w:p>
      <w:pPr>
        <w:pStyle w:val="TextBody"/>
        <w:bidi w:val="0"/>
        <w:spacing w:before="0" w:after="283"/>
        <w:jc w:val="left"/>
        <w:rPr/>
      </w:pPr>
      <w:r>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reducing the principal amount of discount securities payable upon acceleration of maturity;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making the principal of or premium or interest on any debt security payable in currency other than that stated in the debt security;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reducing the percentage of debt securities, the holders of which are required to consent to any amendment or waiver.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holders of a majority in principal amount of the outstanding debt securities of any series may rescind an acceleration and its consequences, including any related payment default that resulted from the acceleration.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the transfer or exchange of debt securities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replace stolen, lost or mutilated debt securities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maintain paying agencies;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hold monies for payment in trust;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compensate and indemnify the trustee;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appoint any successor trustee.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Debenture Trustee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Description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or preferred stock in one or more series. We may issue warrants independently or together with common stock or preferred stock, and the warrants may be attached to or separate from these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evidence each series of warrants by warrant certificates that we may issue under a separate agreement. We may enter into a warrant agreement with a warrant agent. Each warrant agent may be a bank that we select which has its principal office in the United States. We may also choose to act as our own warrant agent. We will indicate the name and address of any such warrant agent in the applicable prospectus supplement relating to a particular series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offering price and aggregate number of warrants offered;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the case of warrants to purchase common stock or preferred stock, the number or amount of shares of common stock or preferred stock, as the case may be, purchasable upon the exercise of one warrant and the price at which and currency in which these shares may be purchased upon such exercise;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manner of exercise of the warrants, including any cashless exercise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warrant agreement under which the warrants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effect of any merger, consolidation, sale or other disposition of our business on the warrant agreement and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anti-dilution provisions of the warrants,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terms of any rights to redeem or call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dates on which the right to exercise the warrants will commence and expire or, if the warrants are not continuously exercisable during that period, the specific date or dates on which the warrants will be exercisable;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manner in which the warrant agreement and warrants may be modified;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identities of the warrant agent and any calculation or other agent for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federal income tax consequences of holding or exercising the warrants;</w:t>
            </w:r>
          </w:p>
        </w:tc>
      </w:tr>
    </w:tbl>
    <w:p>
      <w:pPr>
        <w:pStyle w:val="TextBody"/>
        <w:bidi w:val="0"/>
        <w:spacing w:before="0" w:after="283"/>
        <w:jc w:val="left"/>
        <w:rPr/>
      </w:pPr>
      <w:r>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pPr>
            <w:r>
              <w:rPr/>
              <w:t>the terms of the securities issuable upon exercise of the warrants;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securities exchange or quotation system on which the warrants or any securities deliverable upon exercise of the warrants may be listed or quoted;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other specific terms, preferences, rights or limitations of or restrictions on the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the close of business, on the expiration date that we set forth in the applicable prospectus supplement. After the close of business on the expiration date, unexercised warrants will become void.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 Will Not Be Qualified Under Trust Indenture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agreement will be qualified as an indenture, and no warrant agent will be required to qualify as a trustee, under the Trust Indenture Act of 1939. Therefore, holders of warrants issued under a warrant agreement will not have the protection of the Trust Indenture Act of 1939 with respect to their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applicable prospectus supplement, each warrant agreement and any warrants issued under the warrant agreements will be governed by New York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Description of Subscription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subscription rights we may issue from time to time. Particular terms of any subscription rights we offer will be described in the prospectus supplement relating to such subscription rights, and may differ from the terms described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shares of our common stock or other securities offered hereby. These subscription rights may be issued independently or together with any other security offered hereby and may or may not be transferable by the stockholder receiving the subscription rights in such offering. Each series of subscription rights will be issued under a separate subscription rights agreement to be entered into between us and a bank or trust company, as rights agent. The rights agent will act solely as our agent in connection with the certificates relating to the subscription rights of the series of certificates and will not assume any obligation or relationship of agency or trust for or with any holders of subscription rights certificates or beneficial owners of subscription rights.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subscription rights for which this prospectus is being delivered, including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shares of our common stock or other securities will be offered under the stockholder subscription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 of determining the stockholders entitled to the subscription rights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price, if any, for the subscription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exercise price payable for each security upon the exercise of the subscription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number of subscription rights issued to each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number and terms of the securities which may be purchased per each subscription right;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extent to which the subscription rights are transferable and the date, if any, on and after which the rights may be separately transferred;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other terms of the subscription rights, including the terms, procedures and limitations relating to the exchange and exercise of the subscription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date on which the right to exercise the subscription rights shall commence, and the date on which the subscription rights shall expire;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conditions to the completion of the offering,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terms relating to the withdrawal, termination or cancellation of the subscription rights,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extent to which the subscription rights may include an over-subscription privilege with respect to unsubscribed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appropriate, a discussion of material U.S. federal income tax considerations;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applicable, the material terms of any standby underwriting or purchase arrangement entered into by us in connection with the offering of subscription rights.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thereof to purchase for cash the principal amount of shares of common stock or other securities at the exercise price provided in the applicable prospectus supplement. Subscription rights may be exercised at any time up to the close of business on the expiration date for the subscription rights provided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subscription rights as described in the applicable prospectus supplement. Upon receipt of payment and the subscription rights certificate properly completed and duly executed at the corporate trust office of the rights agent or any other office indicated in the prospectus supplement, we will, as soon as practicable, forward the shares of common stock or other securities, as applicable,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for any subscription rights we offer will be set forth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Description of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or any prospectus supplement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times before a specified date or upon the occurrence of a specified event or occurrence.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designation and the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unit agreement under which the units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Plan of Distribution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pursuant to this prospectus from time to time in one or more transactions, including, without limitation: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or through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broker-dealers (acting as agent or principal);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directly by us to one or more purchasers (including our affiliates and stockholders), through a specific bidding or auction process, a rights offering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a combination of any such methods of sale;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any other methods described in a prospectus supplement or free writing prospectus.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transactions (which may involve crosses) and transactions on Nasdaq or any other organized market where the securities may be traded;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purchases by a broker-dealer as principal and resale by the broker-dealer for its own account pursuant to a prospectus supplement or free writing prospectus;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ordinary brokerage transactions and transactions in which a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sales in other ways not involving market makers or established trading markets, including direct sales to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applicable prospectus supplement or free writing prospectus will describe the terms of the offering of the securities, including: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name or names of any underwriters, if, and if required, any dealers or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purchase price of the securities and the proceeds we will receive from the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underwriting discounts and other items constituting underwriters’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discounts or concessions allowed or re-allowed or paid to dealers;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securities exchange or market on which the securities may be listed or traded.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transactions at:</w:t>
      </w:r>
    </w:p>
    <w:p>
      <w:pPr>
        <w:pStyle w:val="TextBody"/>
        <w:bidi w:val="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a fixed price or prices, which may be changed;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market prices prevailing at the time of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prices related to such prevailing market prices;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negotiated prices.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for the purpose of resale or distribution,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underwriters and other purchasers with indemnification against particular civil liabilities, including liabilities under the Securities Act, or contribution with respect to payments that the agents, underwriters or other purchasers may make with respect to such liabilities. Agents and underwriters may engage in transactions with, or perform services for, us in the ordinary course of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public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any common stock sold pursuant to a prospectus supplement will be eligible for listing on Nasdaq, subject to official notice of issuance. Any underwriters to whom securities are sold by us for public offering and sale may make a market in the securities, but such underwriters will not be obligated to do so and may discontinue any market making at any time without notice.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Legal Matters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validity of the securities offered by this prospectus has been passed upon for us by Haynes and Boone, LLP, New York, New York.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Experts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KALA BIO, Inc. as of and for the year ended December 31, 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KALA BIO, Inc. as of and for the year ended December 31, 2025, incorporated by reference in this prospectus have been audited by HTL International, LLC, an independent registered public accounting firm, as stated in their report. Such consolidated financial statements have been incorporated herein by reference in reliance on the report of such firms given upon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Where You Can Find More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and in accordance therewith file annual, quarterly and current reports, proxy statements and other information with the SEC. The SEC maintains an internet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periodic and current reports, proxy and information statements and other information regarding registrants that are filed electronically with the SEC.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documents are also available, free of charge, through the SEC Filings portion of the Investor Relations section of our website, which is located at </w:t>
      </w:r>
      <w:r>
        <w:rPr>
          <w:rFonts w:ascii="Times New Roman;Times;Serif" w:hAnsi="Times New Roman;Times;Serif"/>
          <w:b w:val="false"/>
          <w:i/>
          <w:caps w:val="false"/>
          <w:smallCaps w:val="false"/>
          <w:sz w:val="20"/>
        </w:rPr>
        <w:t>www.kalarx.com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The registration statement and the documents referred to below under “Incorporation of Documents by Reference” are also available on our website, </w:t>
      </w:r>
      <w:r>
        <w:rPr>
          <w:rFonts w:ascii="Times New Roman;Times;Serif" w:hAnsi="Times New Roman;Times;Serif"/>
          <w:b w:val="false"/>
          <w:i/>
          <w:caps w:val="false"/>
          <w:smallCaps w:val="false"/>
          <w:sz w:val="20"/>
        </w:rPr>
        <w:t>www.kalarx.com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incorporated by reference into this prospectus the information on our website, and you should not consider it to be a part of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Incorporation of Documents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and any future documents we file with the SEC pursuant to Sections l3(a), l3(c), 14 or l5(d) of the Exchange Act (excluding those portions of any Current Report on Form 8-K that are furnished and not deemed “filed” pursuant to the General Instructions of Form 8-K), in each case, between the date of the initial registration statement and the effectiveness of the registration statement and following the effectiveness of the registration statement until the offering of the securities under the registration statement is terminated: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Annual Report on </w:t>
            </w:r>
            <w:hyperlink r:id="rId2">
              <w:r>
                <w:rPr>
                  <w:rStyle w:val="InternetLink"/>
                </w:rPr>
                <w:t>Form 10-K</w:t>
              </w:r>
            </w:hyperlink>
            <w:r>
              <w:rPr/>
              <w:t xml:space="preserve"> for the year ended December 31, 2025, filed with the SEC on April 15, 2026;</w:t>
            </w:r>
          </w:p>
        </w:tc>
      </w:tr>
    </w:tbl>
    <w:p>
      <w:pPr>
        <w:pStyle w:val="TextBody"/>
        <w:bidi w:val="0"/>
        <w:spacing w:before="0" w:after="283"/>
        <w:jc w:val="left"/>
        <w:rPr/>
      </w:pPr>
      <w:r>
        <w:rPr/>
        <w:t> </w:t>
      </w:r>
    </w:p>
    <w:tbl>
      <w:tblPr>
        <w:tblW w:w="9775" w:type="dxa"/>
        <w:jc w:val="left"/>
        <w:tblInd w:w="0" w:type="dxa"/>
        <w:tblLayout w:type="fixed"/>
        <w:tblCellMar>
          <w:top w:w="0" w:type="dxa"/>
          <w:left w:w="0" w:type="dxa"/>
          <w:bottom w:w="0" w:type="dxa"/>
          <w:right w:w="0" w:type="dxa"/>
        </w:tblCellMar>
      </w:tblPr>
      <w:tblGrid>
        <w:gridCol w:w="135"/>
        <w:gridCol w:w="230"/>
        <w:gridCol w:w="9410"/>
      </w:tblGrid>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1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15, 2026; and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Current Reports on Form 8-K filed with the SEC on </w:t>
            </w:r>
            <w:hyperlink r:id="rId4">
              <w:r>
                <w:rPr>
                  <w:rStyle w:val="InternetLink"/>
                </w:rPr>
                <w:t>January 2, 2026</w:t>
              </w:r>
            </w:hyperlink>
            <w:r>
              <w:rPr/>
              <w:t xml:space="preserve">; </w:t>
            </w:r>
            <w:hyperlink r:id="rId5">
              <w:r>
                <w:rPr>
                  <w:rStyle w:val="InternetLink"/>
                </w:rPr>
                <w:t>January 6, 2026</w:t>
              </w:r>
            </w:hyperlink>
            <w:r>
              <w:rPr/>
              <w:t xml:space="preserve">; </w:t>
            </w:r>
            <w:hyperlink r:id="rId6">
              <w:r>
                <w:rPr>
                  <w:rStyle w:val="InternetLink"/>
                </w:rPr>
                <w:t>January 8, 2026</w:t>
              </w:r>
            </w:hyperlink>
            <w:r>
              <w:rPr/>
              <w:t xml:space="preserve">; </w:t>
            </w:r>
            <w:hyperlink r:id="rId7">
              <w:r>
                <w:rPr>
                  <w:rStyle w:val="InternetLink"/>
                </w:rPr>
                <w:t>January 23, 2026</w:t>
              </w:r>
            </w:hyperlink>
            <w:r>
              <w:rPr/>
              <w:t xml:space="preserve">; </w:t>
            </w:r>
            <w:hyperlink r:id="rId8">
              <w:r>
                <w:rPr>
                  <w:rStyle w:val="InternetLink"/>
                </w:rPr>
                <w:t>February 2, 2026</w:t>
              </w:r>
            </w:hyperlink>
            <w:r>
              <w:rPr/>
              <w:t xml:space="preserve">; </w:t>
            </w:r>
            <w:hyperlink r:id="rId9">
              <w:r>
                <w:rPr>
                  <w:rStyle w:val="InternetLink"/>
                </w:rPr>
                <w:t>February 5, 2026</w:t>
              </w:r>
            </w:hyperlink>
            <w:r>
              <w:rPr/>
              <w:t xml:space="preserve">; </w:t>
            </w:r>
            <w:hyperlink r:id="rId10">
              <w:r>
                <w:rPr>
                  <w:rStyle w:val="InternetLink"/>
                </w:rPr>
                <w:t>February 20, 2026</w:t>
              </w:r>
            </w:hyperlink>
            <w:r>
              <w:rPr/>
              <w:t xml:space="preserve">; </w:t>
            </w:r>
            <w:hyperlink r:id="rId11">
              <w:r>
                <w:rPr>
                  <w:rStyle w:val="InternetLink"/>
                </w:rPr>
                <w:t>March 4, 2026</w:t>
              </w:r>
            </w:hyperlink>
            <w:r>
              <w:rPr/>
              <w:t xml:space="preserve">; and </w:t>
            </w:r>
            <w:hyperlink r:id="rId12">
              <w:r>
                <w:rPr>
                  <w:rStyle w:val="InternetLink"/>
                </w:rPr>
                <w:t>May 7, 2026</w:t>
              </w:r>
            </w:hyperlink>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 Massachusetts Avenue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Arlington, MA 02476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 996-5252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 documents incorporated by reference in this prospectus through our website at </w:t>
      </w:r>
      <w:r>
        <w:rPr>
          <w:rFonts w:ascii="Times New Roman;Times;Serif" w:hAnsi="Times New Roman;Times;Serif"/>
          <w:b w:val="false"/>
          <w:i/>
          <w:caps w:val="false"/>
          <w:smallCaps w:val="false"/>
          <w:sz w:val="20"/>
        </w:rPr>
        <w:t>www.kalarx.com</w:t>
      </w:r>
      <w:r>
        <w:rPr>
          <w:rFonts w:ascii="Times New Roman;Times;Serif" w:hAnsi="Times New Roman;Times;Serif"/>
          <w:b w:val="false"/>
          <w:i w:val="false"/>
          <w:caps w:val="false"/>
          <w:smallCaps w:val="false"/>
          <w:sz w:val="20"/>
        </w:rPr>
        <w:t>. Except for the specific incorporated documents listed above, no information available on or through our website shall be deemed to be incorporated in this prospectus or the registration statement of which it forms a part.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$350,000,000</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PREFERRED STOCK</w:t>
        <w:br/>
        <w:t>DEBT SECURITIES</w:t>
        <w:b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br/>
        <w:t>UNITS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Prospectus</w:t>
      </w:r>
    </w:p>
    <w:p>
      <w:pPr>
        <w:pStyle w:val="TextBody"/>
        <w:bidi w:val="0"/>
        <w:jc w:val="center"/>
        <w:rPr>
          <w:caps/>
        </w:rPr>
      </w:pPr>
      <w:r>
        <w:rPr>
          <w:caps/>
        </w:rPr>
        <w:t> </w:t>
      </w:r>
    </w:p>
    <w:p>
      <w:pPr>
        <w:pStyle w:val="TextBody"/>
        <w:bidi w:val="0"/>
        <w:jc w:val="left"/>
        <w:rPr>
          <w:bdr w:val="single" w:sz="8" w:space="1" w:color="000000"/>
        </w:rPr>
      </w:pPr>
      <w:r>
        <w:rPr>
          <w:bdr w:val="single" w:sz="8" w:space="1" w:color="000000"/>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left"/>
        <w:rPr>
          <w:bdr w:val="single" w:sz="8" w:space="1" w:color="000000"/>
        </w:rPr>
      </w:pPr>
      <w:r>
        <w:rPr>
          <w:bdr w:val="single" w:sz="8" w:space="1" w:color="000000"/>
        </w:rPr>
        <w:t> </w:t>
      </w:r>
    </w:p>
    <w:p>
      <w:pPr>
        <w:pStyle w:val="TextBody"/>
        <w:bidi w:val="0"/>
        <w:jc w:val="center"/>
        <w:rPr>
          <w:caps/>
        </w:rPr>
      </w:pPr>
      <w:r>
        <w:rPr>
          <w:caps/>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payable by the registrant expected to be incurred in connection with the issuance and distribution of the common stock being registered hereby (other than underwriting discounts and commissions). All of such expenses are estimates, except for the SEC registration fee.</w:t>
      </w:r>
    </w:p>
    <w:p>
      <w:pPr>
        <w:pStyle w:val="TextBody"/>
        <w:bidi w:val="0"/>
        <w:jc w:val="left"/>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3065"/>
        <w:gridCol w:w="60"/>
        <w:gridCol w:w="140"/>
        <w:gridCol w:w="980"/>
        <w:gridCol w:w="75"/>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Amount</w:t>
              <w:br/>
              <w:t>to be Paid</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48,335.00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65" w:type="dxa"/>
            <w:tcBorders/>
            <w:shd w:fill="FFFFFF" w:val="clear"/>
            <w:vAlign w:val="center"/>
          </w:tcPr>
          <w:p>
            <w:pPr>
              <w:pStyle w:val="TableContents"/>
              <w:bidi w:val="0"/>
              <w:spacing w:before="0" w:after="283"/>
              <w:jc w:val="left"/>
              <w:rPr/>
            </w:pPr>
            <w:r>
              <w:rPr/>
              <w:t>FINRA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Printing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65" w:type="dxa"/>
            <w:tcBorders/>
            <w:shd w:fill="FFFFFF" w:val="clear"/>
            <w:vAlign w:val="center"/>
          </w:tcPr>
          <w:p>
            <w:pPr>
              <w:pStyle w:val="TableContents"/>
              <w:bidi w:val="0"/>
              <w:spacing w:before="0" w:after="283"/>
              <w:jc w:val="left"/>
              <w:rPr/>
            </w:pPr>
            <w:r>
              <w:rPr/>
              <w:t>Transfer agent and registrar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6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provisions relating to the limitation of liability and indemnification of directors and officers. Our Certificate of Incorporation provides that a director will not be personally liable to us or our stockholders for monetary damages for breach of fiduciary duty as a director, except for liability: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any breach of the director’s duty of loyalty to us or our stockholders;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acts or omissions not in good faith or that involve intentional misconduct or a knowing violation of law;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under Section 174 of the DGCL;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for any transaction from which the director derived any improper personal benefit.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also provides that if the DGCL is amended to authorize corporate action further eliminating or limiting the personal liability of directors, then the liability of our directors will be eliminated or limited to the fullest extent permitted by the DGCL.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will indemnify our directors and officers to the fullest extent not prohibited by the DGCL; provided, however, that we may limit the extent of such indemnification by individual contracts with our directors and executive officers; and provided, further, that we are not required to indemnify any director or executive officer in connection with any proceeding (or part thereof) initiated by such person or any proceeding by such person against us or our directors, officers, employees or other agents unless:</w:t>
      </w:r>
    </w:p>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left"/>
              <w:rPr/>
            </w:pPr>
            <w:r>
              <w:rPr/>
              <w:t>such indemnification is expressly required to be made by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the proceeding was authorized by the Board;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such indemnification is provided by us, in our sole discretion, pursuant to the powers vested in us under the DGCL.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shall advance, prior to the final disposition of any proceeding, promptly following request therefor, all expenses by any director or executive officer in connection with any such proceeding upon receipt of any undertaking by or on behalf of such person to repay said amounts if it should be determined ultimately that such person is not entitled to be indemnified under Article XI of our Bylaws or otherwise. Notwithstanding the foregoing, unless otherwise determined, no advance shall be made by us if a determination is reasonably and promptly made by the Board by a majority vote of a quorum of directors who were not parties to the proceeding, or if such a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our best interests.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authorize us to purchase insurance on behalf of any person required or permitted to be indemnified pursuant to our Bylaws.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145(a) of the DGCL authorizes a corporation to indemnify any person who was or is a party, or is threatened to be made a party, to a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145(b) of the DGCL provides in relevant part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also provides that indemnification under Section 145(d) can only be made upon a determination that indemnification of the present or former director, officer or employee or agent is proper in the circumstances because such person has met the applicable standard of conduct set forth in Section 145(a) and (b).</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145(g) of the DGCL also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for eliminating or limiting the personal liability of one of its directors for any monetary damages related to a breach of fiduciary duty as a director, as long as the corporation does not eliminate or limit the liability of a director for acts or omissions which (1) which breached the director’s duty of loyalty to the corporation or its stockholders, (2) which were not in good faith or which involve intentional misconduct or knowing violation of law, (3) under Section 174 of the DGCL; or (4) from which the director derived an improper personal benefit.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directors’ and officers’ insurance to cover our directors and officers for certain liabilities.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31"/>
        <w:gridCol w:w="85"/>
        <w:gridCol w:w="8889"/>
      </w:tblGrid>
      <w:tr>
        <w:trPr/>
        <w:tc>
          <w:tcPr>
            <w:tcW w:w="1231" w:type="dxa"/>
            <w:tcBorders>
              <w:bottom w:val="single" w:sz="8" w:space="0" w:color="000000"/>
            </w:tcBorders>
            <w:vAlign w:val="center"/>
          </w:tcPr>
          <w:p>
            <w:pPr>
              <w:pStyle w:val="TableContents"/>
              <w:bidi w:val="0"/>
              <w:spacing w:before="0" w:after="283"/>
              <w:jc w:val="left"/>
              <w:rPr>
                <w:b/>
              </w:rPr>
            </w:pPr>
            <w:r>
              <w:rPr>
                <w:b/>
              </w:rPr>
              <w:t>Exhibit Number</w:t>
            </w:r>
          </w:p>
        </w:tc>
        <w:tc>
          <w:tcPr>
            <w:tcW w:w="85" w:type="dxa"/>
            <w:tcBorders/>
            <w:tcMar>
              <w:bottom w:w="0" w:type="dxa"/>
            </w:tcMar>
            <w:vAlign w:val="center"/>
          </w:tcPr>
          <w:p>
            <w:pPr>
              <w:pStyle w:val="TableContents"/>
              <w:bidi w:val="0"/>
              <w:spacing w:before="0" w:after="283"/>
              <w:jc w:val="left"/>
              <w:rPr/>
            </w:pPr>
            <w:r>
              <w:rPr/>
              <w:t> </w:t>
            </w:r>
          </w:p>
        </w:tc>
        <w:tc>
          <w:tcPr>
            <w:tcW w:w="8889"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1231" w:type="dxa"/>
            <w:tcBorders/>
            <w:shd w:fill="CCEEFF" w:val="clear"/>
            <w:tcMar>
              <w:bottom w:w="0" w:type="dxa"/>
            </w:tcMar>
            <w:vAlign w:val="center"/>
          </w:tcPr>
          <w:p>
            <w:pPr>
              <w:pStyle w:val="TableContents"/>
              <w:bidi w:val="0"/>
              <w:spacing w:before="0" w:after="283"/>
              <w:jc w:val="both"/>
              <w:rPr/>
            </w:pPr>
            <w:r>
              <w:rPr/>
              <w:t>1.1**</w:t>
            </w:r>
          </w:p>
        </w:tc>
        <w:tc>
          <w:tcPr>
            <w:tcW w:w="85" w:type="dxa"/>
            <w:tcBorders/>
            <w:shd w:fill="CCEEFF" w:val="clear"/>
            <w:tcMar>
              <w:bottom w:w="0" w:type="dxa"/>
            </w:tcMar>
            <w:vAlign w:val="center"/>
          </w:tcPr>
          <w:p>
            <w:pPr>
              <w:pStyle w:val="TableContents"/>
              <w:bidi w:val="0"/>
              <w:spacing w:before="0" w:after="283"/>
              <w:jc w:val="left"/>
              <w:rPr/>
            </w:pPr>
            <w:r>
              <w:rPr/>
              <w:t> </w:t>
            </w:r>
          </w:p>
        </w:tc>
        <w:tc>
          <w:tcPr>
            <w:tcW w:w="8889" w:type="dxa"/>
            <w:tcBorders/>
            <w:shd w:fill="CCEEFF" w:val="clear"/>
            <w:tcMar>
              <w:bottom w:w="0" w:type="dxa"/>
            </w:tcMar>
            <w:vAlign w:val="center"/>
          </w:tcPr>
          <w:p>
            <w:pPr>
              <w:pStyle w:val="TableContents"/>
              <w:bidi w:val="0"/>
              <w:spacing w:before="0" w:after="283"/>
              <w:jc w:val="both"/>
              <w:rPr/>
            </w:pPr>
            <w:r>
              <w:rPr/>
              <w:t>Form of Underwriting Agreement</w:t>
            </w:r>
          </w:p>
        </w:tc>
      </w:tr>
      <w:tr>
        <w:trPr/>
        <w:tc>
          <w:tcPr>
            <w:tcW w:w="1231" w:type="dxa"/>
            <w:tcBorders/>
            <w:shd w:fill="FFFFFF" w:val="clear"/>
            <w:tcMar>
              <w:bottom w:w="0" w:type="dxa"/>
            </w:tcMar>
            <w:vAlign w:val="center"/>
          </w:tcPr>
          <w:p>
            <w:pPr>
              <w:pStyle w:val="TableContents"/>
              <w:bidi w:val="0"/>
              <w:spacing w:before="0" w:after="283"/>
              <w:jc w:val="both"/>
              <w:rPr/>
            </w:pPr>
            <w:r>
              <w:rPr/>
              <w:t>4.1*</w:t>
            </w:r>
          </w:p>
        </w:tc>
        <w:tc>
          <w:tcPr>
            <w:tcW w:w="85" w:type="dxa"/>
            <w:tcBorders/>
            <w:shd w:fill="FFFFFF" w:val="clear"/>
            <w:tcMar>
              <w:bottom w:w="0" w:type="dxa"/>
            </w:tcMar>
            <w:vAlign w:val="center"/>
          </w:tcPr>
          <w:p>
            <w:pPr>
              <w:pStyle w:val="TableContents"/>
              <w:bidi w:val="0"/>
              <w:spacing w:before="0" w:after="283"/>
              <w:jc w:val="left"/>
              <w:rPr/>
            </w:pPr>
            <w:r>
              <w:rPr/>
              <w:t> </w:t>
            </w:r>
          </w:p>
        </w:tc>
        <w:tc>
          <w:tcPr>
            <w:tcW w:w="8889" w:type="dxa"/>
            <w:tcBorders/>
            <w:shd w:fill="FFFFFF" w:val="clear"/>
            <w:tcMar>
              <w:bottom w:w="0" w:type="dxa"/>
            </w:tcMar>
            <w:vAlign w:val="center"/>
          </w:tcPr>
          <w:p>
            <w:pPr>
              <w:pStyle w:val="TableContents"/>
              <w:bidi w:val="0"/>
              <w:spacing w:before="0" w:after="283"/>
              <w:jc w:val="both"/>
              <w:rPr/>
            </w:pPr>
            <w:hyperlink w:anchor="kalabio_ex4-1.htm">
              <w:r>
                <w:rPr>
                  <w:rStyle w:val="InternetLink"/>
                </w:rPr>
                <w:t>Description of Securities</w:t>
              </w:r>
            </w:hyperlink>
          </w:p>
        </w:tc>
      </w:tr>
      <w:tr>
        <w:trPr/>
        <w:tc>
          <w:tcPr>
            <w:tcW w:w="1231" w:type="dxa"/>
            <w:tcBorders/>
            <w:shd w:fill="CCEEFF" w:val="clear"/>
            <w:tcMar>
              <w:bottom w:w="0" w:type="dxa"/>
            </w:tcMar>
            <w:vAlign w:val="center"/>
          </w:tcPr>
          <w:p>
            <w:pPr>
              <w:pStyle w:val="TableContents"/>
              <w:bidi w:val="0"/>
              <w:spacing w:before="0" w:after="283"/>
              <w:jc w:val="both"/>
              <w:rPr/>
            </w:pPr>
            <w:r>
              <w:rPr/>
              <w:t>4.2</w:t>
            </w:r>
          </w:p>
        </w:tc>
        <w:tc>
          <w:tcPr>
            <w:tcW w:w="85" w:type="dxa"/>
            <w:tcBorders/>
            <w:shd w:fill="CCEEFF" w:val="clear"/>
            <w:tcMar>
              <w:bottom w:w="0" w:type="dxa"/>
            </w:tcMar>
            <w:vAlign w:val="center"/>
          </w:tcPr>
          <w:p>
            <w:pPr>
              <w:pStyle w:val="TableContents"/>
              <w:bidi w:val="0"/>
              <w:spacing w:before="0" w:after="283"/>
              <w:jc w:val="left"/>
              <w:rPr/>
            </w:pPr>
            <w:r>
              <w:rPr/>
              <w:t> </w:t>
            </w:r>
          </w:p>
        </w:tc>
        <w:tc>
          <w:tcPr>
            <w:tcW w:w="8889" w:type="dxa"/>
            <w:tcBorders/>
            <w:shd w:fill="CCEEFF" w:val="clear"/>
            <w:tcMar>
              <w:bottom w:w="0" w:type="dxa"/>
            </w:tcMar>
            <w:vAlign w:val="center"/>
          </w:tcPr>
          <w:p>
            <w:pPr>
              <w:pStyle w:val="TableContents"/>
              <w:bidi w:val="0"/>
              <w:spacing w:before="0" w:after="283"/>
              <w:jc w:val="both"/>
              <w:rPr/>
            </w:pPr>
            <w:hyperlink r:id="rId13">
              <w:r>
                <w:rPr>
                  <w:rStyle w:val="InternetLink"/>
                </w:rPr>
                <w:t>Specimen Stock Certificate evidencing the shares of common stock (incorporated by reference to Exhibit 4.1 to the Registrant’s annual report on Form 10-K (File No. 001-38150) filed on March 3, 2023)</w:t>
              </w:r>
            </w:hyperlink>
          </w:p>
        </w:tc>
      </w:tr>
      <w:tr>
        <w:trPr/>
        <w:tc>
          <w:tcPr>
            <w:tcW w:w="1231" w:type="dxa"/>
            <w:tcBorders/>
            <w:shd w:fill="FFFFFF" w:val="clear"/>
            <w:tcMar>
              <w:bottom w:w="0" w:type="dxa"/>
            </w:tcMar>
            <w:vAlign w:val="center"/>
          </w:tcPr>
          <w:p>
            <w:pPr>
              <w:pStyle w:val="TableContents"/>
              <w:bidi w:val="0"/>
              <w:spacing w:before="0" w:after="283"/>
              <w:jc w:val="both"/>
              <w:rPr/>
            </w:pPr>
            <w:r>
              <w:rPr/>
              <w:t>4.3</w:t>
            </w:r>
          </w:p>
        </w:tc>
        <w:tc>
          <w:tcPr>
            <w:tcW w:w="85" w:type="dxa"/>
            <w:tcBorders/>
            <w:shd w:fill="FFFFFF" w:val="clear"/>
            <w:tcMar>
              <w:bottom w:w="0" w:type="dxa"/>
            </w:tcMar>
            <w:vAlign w:val="center"/>
          </w:tcPr>
          <w:p>
            <w:pPr>
              <w:pStyle w:val="TableContents"/>
              <w:bidi w:val="0"/>
              <w:spacing w:before="0" w:after="283"/>
              <w:jc w:val="left"/>
              <w:rPr/>
            </w:pPr>
            <w:r>
              <w:rPr/>
              <w:t> </w:t>
            </w:r>
          </w:p>
        </w:tc>
        <w:tc>
          <w:tcPr>
            <w:tcW w:w="8889" w:type="dxa"/>
            <w:tcBorders/>
            <w:shd w:fill="FFFFFF" w:val="clear"/>
            <w:tcMar>
              <w:bottom w:w="0" w:type="dxa"/>
            </w:tcMar>
            <w:vAlign w:val="center"/>
          </w:tcPr>
          <w:p>
            <w:pPr>
              <w:pStyle w:val="TableContents"/>
              <w:bidi w:val="0"/>
              <w:spacing w:before="0" w:after="283"/>
              <w:jc w:val="both"/>
              <w:rPr/>
            </w:pPr>
            <w:hyperlink r:id="rId14">
              <w:r>
                <w:rPr>
                  <w:rStyle w:val="InternetLink"/>
                </w:rPr>
                <w:t>Form of Series AA Preferred Stock Certificate (incorporated by reference to Exhibit 4.1 to the Registrant’s current report on Form 8-K (File No. 001-38150) filed on November 25, 2025)</w:t>
              </w:r>
            </w:hyperlink>
          </w:p>
        </w:tc>
      </w:tr>
      <w:tr>
        <w:trPr/>
        <w:tc>
          <w:tcPr>
            <w:tcW w:w="1231" w:type="dxa"/>
            <w:tcBorders/>
            <w:shd w:fill="CCEEFF" w:val="clear"/>
            <w:tcMar>
              <w:bottom w:w="0" w:type="dxa"/>
            </w:tcMar>
            <w:vAlign w:val="center"/>
          </w:tcPr>
          <w:p>
            <w:pPr>
              <w:pStyle w:val="TableContents"/>
              <w:bidi w:val="0"/>
              <w:spacing w:before="0" w:after="283"/>
              <w:jc w:val="both"/>
              <w:rPr/>
            </w:pPr>
            <w:r>
              <w:rPr/>
              <w:t>4.4</w:t>
            </w:r>
          </w:p>
        </w:tc>
        <w:tc>
          <w:tcPr>
            <w:tcW w:w="85" w:type="dxa"/>
            <w:tcBorders/>
            <w:shd w:fill="CCEEFF" w:val="clear"/>
            <w:tcMar>
              <w:bottom w:w="0" w:type="dxa"/>
            </w:tcMar>
            <w:vAlign w:val="center"/>
          </w:tcPr>
          <w:p>
            <w:pPr>
              <w:pStyle w:val="TableContents"/>
              <w:bidi w:val="0"/>
              <w:spacing w:before="0" w:after="283"/>
              <w:jc w:val="left"/>
              <w:rPr/>
            </w:pPr>
            <w:r>
              <w:rPr/>
              <w:t> </w:t>
            </w:r>
          </w:p>
        </w:tc>
        <w:tc>
          <w:tcPr>
            <w:tcW w:w="8889" w:type="dxa"/>
            <w:tcBorders/>
            <w:shd w:fill="CCEEFF" w:val="clear"/>
            <w:tcMar>
              <w:bottom w:w="0" w:type="dxa"/>
            </w:tcMar>
            <w:vAlign w:val="center"/>
          </w:tcPr>
          <w:p>
            <w:pPr>
              <w:pStyle w:val="TableContents"/>
              <w:bidi w:val="0"/>
              <w:spacing w:before="0" w:after="283"/>
              <w:jc w:val="both"/>
              <w:rPr/>
            </w:pPr>
            <w:hyperlink r:id="rId15">
              <w:r>
                <w:rPr>
                  <w:rStyle w:val="InternetLink"/>
                </w:rPr>
                <w:t>Form of Pre-Funded Warrant issued on December 5, 2025 (incorporated by reference to Exhibit 4.1 to the Registrant’s current report on Form 8-K (File No. 001-38150) filed on December 5, 2025)</w:t>
              </w:r>
            </w:hyperlink>
          </w:p>
        </w:tc>
      </w:tr>
      <w:tr>
        <w:trPr/>
        <w:tc>
          <w:tcPr>
            <w:tcW w:w="1231" w:type="dxa"/>
            <w:tcBorders/>
            <w:shd w:fill="FFFFFF" w:val="clear"/>
            <w:tcMar>
              <w:bottom w:w="0" w:type="dxa"/>
            </w:tcMar>
            <w:vAlign w:val="center"/>
          </w:tcPr>
          <w:p>
            <w:pPr>
              <w:pStyle w:val="TableContents"/>
              <w:bidi w:val="0"/>
              <w:spacing w:before="0" w:after="283"/>
              <w:jc w:val="both"/>
              <w:rPr/>
            </w:pPr>
            <w:r>
              <w:rPr/>
              <w:t xml:space="preserve">4.5*** </w:t>
            </w:r>
          </w:p>
        </w:tc>
        <w:tc>
          <w:tcPr>
            <w:tcW w:w="85" w:type="dxa"/>
            <w:tcBorders/>
            <w:shd w:fill="FFFFFF" w:val="clear"/>
            <w:tcMar>
              <w:bottom w:w="0" w:type="dxa"/>
            </w:tcMar>
            <w:vAlign w:val="center"/>
          </w:tcPr>
          <w:p>
            <w:pPr>
              <w:pStyle w:val="TableContents"/>
              <w:bidi w:val="0"/>
              <w:spacing w:before="0" w:after="283"/>
              <w:jc w:val="left"/>
              <w:rPr/>
            </w:pPr>
            <w:r>
              <w:rPr/>
              <w:t xml:space="preserve">  </w:t>
            </w:r>
          </w:p>
        </w:tc>
        <w:tc>
          <w:tcPr>
            <w:tcW w:w="8889" w:type="dxa"/>
            <w:tcBorders/>
            <w:shd w:fill="FFFFFF" w:val="clear"/>
            <w:tcMar>
              <w:bottom w:w="0" w:type="dxa"/>
            </w:tcMar>
            <w:vAlign w:val="center"/>
          </w:tcPr>
          <w:p>
            <w:pPr>
              <w:pStyle w:val="TableContents"/>
              <w:bidi w:val="0"/>
              <w:spacing w:before="0" w:after="283"/>
              <w:jc w:val="both"/>
              <w:rPr/>
            </w:pPr>
            <w:hyperlink r:id="rId16">
              <w:r>
                <w:rPr>
                  <w:rStyle w:val="InternetLink"/>
                </w:rPr>
                <w:t>Form of Senior Indenture.</w:t>
              </w:r>
            </w:hyperlink>
            <w:r>
              <w:rPr/>
              <w:t xml:space="preserve"> </w:t>
            </w:r>
          </w:p>
        </w:tc>
      </w:tr>
      <w:tr>
        <w:trPr/>
        <w:tc>
          <w:tcPr>
            <w:tcW w:w="1231" w:type="dxa"/>
            <w:tcBorders/>
            <w:shd w:fill="CCEEFF" w:val="clear"/>
            <w:tcMar>
              <w:bottom w:w="0" w:type="dxa"/>
            </w:tcMar>
            <w:vAlign w:val="center"/>
          </w:tcPr>
          <w:p>
            <w:pPr>
              <w:pStyle w:val="TableContents"/>
              <w:bidi w:val="0"/>
              <w:spacing w:before="0" w:after="283"/>
              <w:jc w:val="both"/>
              <w:rPr/>
            </w:pPr>
            <w:r>
              <w:rPr/>
              <w:t xml:space="preserve">4.6*** </w:t>
            </w:r>
          </w:p>
        </w:tc>
        <w:tc>
          <w:tcPr>
            <w:tcW w:w="85" w:type="dxa"/>
            <w:tcBorders/>
            <w:shd w:fill="CCEEFF" w:val="clear"/>
            <w:tcMar>
              <w:bottom w:w="0" w:type="dxa"/>
            </w:tcMar>
            <w:vAlign w:val="center"/>
          </w:tcPr>
          <w:p>
            <w:pPr>
              <w:pStyle w:val="TableContents"/>
              <w:bidi w:val="0"/>
              <w:spacing w:before="0" w:after="283"/>
              <w:jc w:val="left"/>
              <w:rPr/>
            </w:pPr>
            <w:r>
              <w:rPr/>
              <w:t xml:space="preserve">  </w:t>
            </w:r>
          </w:p>
        </w:tc>
        <w:tc>
          <w:tcPr>
            <w:tcW w:w="8889" w:type="dxa"/>
            <w:tcBorders/>
            <w:shd w:fill="CCEEFF" w:val="clear"/>
            <w:tcMar>
              <w:bottom w:w="0" w:type="dxa"/>
            </w:tcMar>
            <w:vAlign w:val="center"/>
          </w:tcPr>
          <w:p>
            <w:pPr>
              <w:pStyle w:val="TableContents"/>
              <w:bidi w:val="0"/>
              <w:spacing w:before="0" w:after="283"/>
              <w:jc w:val="both"/>
              <w:rPr/>
            </w:pPr>
            <w:hyperlink r:id="rId17">
              <w:r>
                <w:rPr>
                  <w:rStyle w:val="InternetLink"/>
                </w:rPr>
                <w:t>Form of Subordinated Indenture.</w:t>
              </w:r>
            </w:hyperlink>
            <w:r>
              <w:rPr/>
              <w:t xml:space="preserve"> </w:t>
            </w:r>
          </w:p>
        </w:tc>
      </w:tr>
      <w:tr>
        <w:trPr/>
        <w:tc>
          <w:tcPr>
            <w:tcW w:w="1231" w:type="dxa"/>
            <w:tcBorders/>
            <w:shd w:fill="FFFFFF" w:val="clear"/>
            <w:tcMar>
              <w:bottom w:w="0" w:type="dxa"/>
            </w:tcMar>
            <w:vAlign w:val="center"/>
          </w:tcPr>
          <w:p>
            <w:pPr>
              <w:pStyle w:val="TableContents"/>
              <w:bidi w:val="0"/>
              <w:spacing w:before="0" w:after="283"/>
              <w:jc w:val="both"/>
              <w:rPr/>
            </w:pPr>
            <w:r>
              <w:rPr/>
              <w:t>4.7**</w:t>
            </w:r>
          </w:p>
        </w:tc>
        <w:tc>
          <w:tcPr>
            <w:tcW w:w="85" w:type="dxa"/>
            <w:tcBorders/>
            <w:shd w:fill="FFFFFF" w:val="clear"/>
            <w:tcMar>
              <w:bottom w:w="0" w:type="dxa"/>
            </w:tcMar>
            <w:vAlign w:val="center"/>
          </w:tcPr>
          <w:p>
            <w:pPr>
              <w:pStyle w:val="TableContents"/>
              <w:bidi w:val="0"/>
              <w:spacing w:before="0" w:after="283"/>
              <w:jc w:val="left"/>
              <w:rPr/>
            </w:pPr>
            <w:r>
              <w:rPr/>
              <w:t> </w:t>
            </w:r>
          </w:p>
        </w:tc>
        <w:tc>
          <w:tcPr>
            <w:tcW w:w="8889" w:type="dxa"/>
            <w:tcBorders/>
            <w:shd w:fill="FFFFFF" w:val="clear"/>
            <w:tcMar>
              <w:bottom w:w="0" w:type="dxa"/>
            </w:tcMar>
            <w:vAlign w:val="center"/>
          </w:tcPr>
          <w:p>
            <w:pPr>
              <w:pStyle w:val="TableContents"/>
              <w:bidi w:val="0"/>
              <w:spacing w:before="0" w:after="283"/>
              <w:jc w:val="both"/>
              <w:rPr/>
            </w:pPr>
            <w:r>
              <w:rPr/>
              <w:t>Form of Senior Debt Securities.</w:t>
            </w:r>
          </w:p>
        </w:tc>
      </w:tr>
      <w:tr>
        <w:trPr/>
        <w:tc>
          <w:tcPr>
            <w:tcW w:w="1231" w:type="dxa"/>
            <w:tcBorders/>
            <w:shd w:fill="CCEEFF" w:val="clear"/>
            <w:tcMar>
              <w:bottom w:w="0" w:type="dxa"/>
            </w:tcMar>
            <w:vAlign w:val="center"/>
          </w:tcPr>
          <w:p>
            <w:pPr>
              <w:pStyle w:val="TableContents"/>
              <w:bidi w:val="0"/>
              <w:spacing w:before="0" w:after="283"/>
              <w:jc w:val="both"/>
              <w:rPr/>
            </w:pPr>
            <w:r>
              <w:rPr/>
              <w:t>4.8**</w:t>
            </w:r>
          </w:p>
        </w:tc>
        <w:tc>
          <w:tcPr>
            <w:tcW w:w="85" w:type="dxa"/>
            <w:tcBorders/>
            <w:shd w:fill="CCEEFF" w:val="clear"/>
            <w:tcMar>
              <w:bottom w:w="0" w:type="dxa"/>
            </w:tcMar>
            <w:vAlign w:val="center"/>
          </w:tcPr>
          <w:p>
            <w:pPr>
              <w:pStyle w:val="TableContents"/>
              <w:bidi w:val="0"/>
              <w:spacing w:before="0" w:after="283"/>
              <w:jc w:val="left"/>
              <w:rPr/>
            </w:pPr>
            <w:r>
              <w:rPr/>
              <w:t> </w:t>
            </w:r>
          </w:p>
        </w:tc>
        <w:tc>
          <w:tcPr>
            <w:tcW w:w="8889" w:type="dxa"/>
            <w:tcBorders/>
            <w:shd w:fill="CCEEFF" w:val="clear"/>
            <w:tcMar>
              <w:bottom w:w="0" w:type="dxa"/>
            </w:tcMar>
            <w:vAlign w:val="center"/>
          </w:tcPr>
          <w:p>
            <w:pPr>
              <w:pStyle w:val="TableContents"/>
              <w:bidi w:val="0"/>
              <w:spacing w:before="0" w:after="283"/>
              <w:jc w:val="both"/>
              <w:rPr/>
            </w:pPr>
            <w:r>
              <w:rPr/>
              <w:t>Form of Subordinated Debt Securities.</w:t>
            </w:r>
          </w:p>
        </w:tc>
      </w:tr>
      <w:tr>
        <w:trPr/>
        <w:tc>
          <w:tcPr>
            <w:tcW w:w="1231" w:type="dxa"/>
            <w:tcBorders/>
            <w:shd w:fill="FFFFFF" w:val="clear"/>
            <w:tcMar>
              <w:bottom w:w="0" w:type="dxa"/>
            </w:tcMar>
            <w:vAlign w:val="center"/>
          </w:tcPr>
          <w:p>
            <w:pPr>
              <w:pStyle w:val="TableContents"/>
              <w:bidi w:val="0"/>
              <w:spacing w:before="0" w:after="283"/>
              <w:jc w:val="both"/>
              <w:rPr/>
            </w:pPr>
            <w:r>
              <w:rPr/>
              <w:t>4.9**</w:t>
            </w:r>
          </w:p>
        </w:tc>
        <w:tc>
          <w:tcPr>
            <w:tcW w:w="85" w:type="dxa"/>
            <w:tcBorders/>
            <w:shd w:fill="FFFFFF" w:val="clear"/>
            <w:tcMar>
              <w:bottom w:w="0" w:type="dxa"/>
            </w:tcMar>
            <w:vAlign w:val="center"/>
          </w:tcPr>
          <w:p>
            <w:pPr>
              <w:pStyle w:val="TableContents"/>
              <w:bidi w:val="0"/>
              <w:spacing w:before="0" w:after="283"/>
              <w:jc w:val="left"/>
              <w:rPr/>
            </w:pPr>
            <w:r>
              <w:rPr/>
              <w:t> </w:t>
            </w:r>
          </w:p>
        </w:tc>
        <w:tc>
          <w:tcPr>
            <w:tcW w:w="8889" w:type="dxa"/>
            <w:tcBorders/>
            <w:shd w:fill="FFFFFF" w:val="clear"/>
            <w:tcMar>
              <w:bottom w:w="0" w:type="dxa"/>
            </w:tcMar>
            <w:vAlign w:val="center"/>
          </w:tcPr>
          <w:p>
            <w:pPr>
              <w:pStyle w:val="TableContents"/>
              <w:bidi w:val="0"/>
              <w:spacing w:before="0" w:after="283"/>
              <w:jc w:val="both"/>
              <w:rPr/>
            </w:pPr>
            <w:r>
              <w:rPr/>
              <w:t>Form of Warrant Agreement and Warrant Certificate.</w:t>
            </w:r>
          </w:p>
        </w:tc>
      </w:tr>
      <w:tr>
        <w:trPr/>
        <w:tc>
          <w:tcPr>
            <w:tcW w:w="1231" w:type="dxa"/>
            <w:tcBorders/>
            <w:shd w:fill="CCEEFF" w:val="clear"/>
            <w:tcMar>
              <w:bottom w:w="0" w:type="dxa"/>
            </w:tcMar>
            <w:vAlign w:val="center"/>
          </w:tcPr>
          <w:p>
            <w:pPr>
              <w:pStyle w:val="TableContents"/>
              <w:bidi w:val="0"/>
              <w:spacing w:before="0" w:after="283"/>
              <w:jc w:val="both"/>
              <w:rPr/>
            </w:pPr>
            <w:r>
              <w:rPr/>
              <w:t>4.10**</w:t>
            </w:r>
          </w:p>
        </w:tc>
        <w:tc>
          <w:tcPr>
            <w:tcW w:w="85" w:type="dxa"/>
            <w:tcBorders/>
            <w:shd w:fill="CCEEFF" w:val="clear"/>
            <w:tcMar>
              <w:bottom w:w="0" w:type="dxa"/>
            </w:tcMar>
            <w:vAlign w:val="center"/>
          </w:tcPr>
          <w:p>
            <w:pPr>
              <w:pStyle w:val="TableContents"/>
              <w:bidi w:val="0"/>
              <w:spacing w:before="0" w:after="283"/>
              <w:jc w:val="left"/>
              <w:rPr/>
            </w:pPr>
            <w:r>
              <w:rPr/>
              <w:t> </w:t>
            </w:r>
          </w:p>
        </w:tc>
        <w:tc>
          <w:tcPr>
            <w:tcW w:w="8889" w:type="dxa"/>
            <w:tcBorders/>
            <w:shd w:fill="CCEEFF" w:val="clear"/>
            <w:tcMar>
              <w:bottom w:w="0" w:type="dxa"/>
            </w:tcMar>
            <w:vAlign w:val="center"/>
          </w:tcPr>
          <w:p>
            <w:pPr>
              <w:pStyle w:val="TableContents"/>
              <w:bidi w:val="0"/>
              <w:spacing w:before="0" w:after="283"/>
              <w:jc w:val="both"/>
              <w:rPr/>
            </w:pPr>
            <w:r>
              <w:rPr/>
              <w:t>Form of Subscription Rights Agreement and Subscription Rights Certificate.</w:t>
            </w:r>
          </w:p>
        </w:tc>
      </w:tr>
      <w:tr>
        <w:trPr/>
        <w:tc>
          <w:tcPr>
            <w:tcW w:w="1231" w:type="dxa"/>
            <w:tcBorders/>
            <w:shd w:fill="FFFFFF" w:val="clear"/>
            <w:tcMar>
              <w:bottom w:w="0" w:type="dxa"/>
            </w:tcMar>
            <w:vAlign w:val="center"/>
          </w:tcPr>
          <w:p>
            <w:pPr>
              <w:pStyle w:val="TableContents"/>
              <w:bidi w:val="0"/>
              <w:spacing w:before="0" w:after="283"/>
              <w:jc w:val="both"/>
              <w:rPr/>
            </w:pPr>
            <w:r>
              <w:rPr/>
              <w:t>4.11**</w:t>
            </w:r>
          </w:p>
        </w:tc>
        <w:tc>
          <w:tcPr>
            <w:tcW w:w="85" w:type="dxa"/>
            <w:tcBorders/>
            <w:shd w:fill="FFFFFF" w:val="clear"/>
            <w:tcMar>
              <w:bottom w:w="0" w:type="dxa"/>
            </w:tcMar>
            <w:vAlign w:val="center"/>
          </w:tcPr>
          <w:p>
            <w:pPr>
              <w:pStyle w:val="TableContents"/>
              <w:bidi w:val="0"/>
              <w:spacing w:before="0" w:after="283"/>
              <w:jc w:val="left"/>
              <w:rPr/>
            </w:pPr>
            <w:r>
              <w:rPr/>
              <w:t> </w:t>
            </w:r>
          </w:p>
        </w:tc>
        <w:tc>
          <w:tcPr>
            <w:tcW w:w="8889" w:type="dxa"/>
            <w:tcBorders/>
            <w:shd w:fill="FFFFFF" w:val="clear"/>
            <w:tcMar>
              <w:bottom w:w="0" w:type="dxa"/>
            </w:tcMar>
            <w:vAlign w:val="center"/>
          </w:tcPr>
          <w:p>
            <w:pPr>
              <w:pStyle w:val="TableContents"/>
              <w:bidi w:val="0"/>
              <w:spacing w:before="0" w:after="283"/>
              <w:jc w:val="both"/>
              <w:rPr/>
            </w:pPr>
            <w:r>
              <w:rPr/>
              <w:t>Form of Unit Agreement and Unit</w:t>
            </w:r>
          </w:p>
        </w:tc>
      </w:tr>
      <w:tr>
        <w:trPr/>
        <w:tc>
          <w:tcPr>
            <w:tcW w:w="1231" w:type="dxa"/>
            <w:tcBorders/>
            <w:shd w:fill="CCEEFF" w:val="clear"/>
            <w:tcMar>
              <w:bottom w:w="0" w:type="dxa"/>
            </w:tcMar>
            <w:vAlign w:val="center"/>
          </w:tcPr>
          <w:p>
            <w:pPr>
              <w:pStyle w:val="TableContents"/>
              <w:bidi w:val="0"/>
              <w:spacing w:before="0" w:after="283"/>
              <w:jc w:val="both"/>
              <w:rPr/>
            </w:pPr>
            <w:r>
              <w:rPr/>
              <w:t>4.12**</w:t>
            </w:r>
          </w:p>
        </w:tc>
        <w:tc>
          <w:tcPr>
            <w:tcW w:w="85" w:type="dxa"/>
            <w:tcBorders/>
            <w:shd w:fill="CCEEFF" w:val="clear"/>
            <w:tcMar>
              <w:bottom w:w="0" w:type="dxa"/>
            </w:tcMar>
            <w:vAlign w:val="center"/>
          </w:tcPr>
          <w:p>
            <w:pPr>
              <w:pStyle w:val="TableContents"/>
              <w:bidi w:val="0"/>
              <w:spacing w:before="0" w:after="283"/>
              <w:jc w:val="left"/>
              <w:rPr/>
            </w:pPr>
            <w:r>
              <w:rPr/>
              <w:t> </w:t>
            </w:r>
          </w:p>
        </w:tc>
        <w:tc>
          <w:tcPr>
            <w:tcW w:w="8889" w:type="dxa"/>
            <w:tcBorders/>
            <w:shd w:fill="CCEEFF" w:val="clear"/>
            <w:tcMar>
              <w:bottom w:w="0" w:type="dxa"/>
            </w:tcMar>
            <w:vAlign w:val="center"/>
          </w:tcPr>
          <w:p>
            <w:pPr>
              <w:pStyle w:val="TableContents"/>
              <w:bidi w:val="0"/>
              <w:spacing w:before="0" w:after="283"/>
              <w:jc w:val="both"/>
              <w:rPr/>
            </w:pPr>
            <w:r>
              <w:rPr/>
              <w:t>Form of Certificate of Designations, Rights and Preferences for Preferred Stock</w:t>
            </w:r>
          </w:p>
        </w:tc>
      </w:tr>
      <w:tr>
        <w:trPr/>
        <w:tc>
          <w:tcPr>
            <w:tcW w:w="1231" w:type="dxa"/>
            <w:tcBorders/>
            <w:shd w:fill="FFFFFF" w:val="clear"/>
            <w:tcMar>
              <w:bottom w:w="0" w:type="dxa"/>
            </w:tcMar>
            <w:vAlign w:val="center"/>
          </w:tcPr>
          <w:p>
            <w:pPr>
              <w:pStyle w:val="TableContents"/>
              <w:bidi w:val="0"/>
              <w:spacing w:before="0" w:after="283"/>
              <w:jc w:val="both"/>
              <w:rPr/>
            </w:pPr>
            <w:r>
              <w:rPr/>
              <w:t xml:space="preserve">5.1*** </w:t>
            </w:r>
          </w:p>
        </w:tc>
        <w:tc>
          <w:tcPr>
            <w:tcW w:w="85" w:type="dxa"/>
            <w:tcBorders/>
            <w:shd w:fill="FFFFFF" w:val="clear"/>
            <w:tcMar>
              <w:bottom w:w="0" w:type="dxa"/>
            </w:tcMar>
            <w:vAlign w:val="center"/>
          </w:tcPr>
          <w:p>
            <w:pPr>
              <w:pStyle w:val="TableContents"/>
              <w:bidi w:val="0"/>
              <w:spacing w:before="0" w:after="283"/>
              <w:jc w:val="left"/>
              <w:rPr/>
            </w:pPr>
            <w:r>
              <w:rPr/>
              <w:t xml:space="preserve">  </w:t>
            </w:r>
          </w:p>
        </w:tc>
        <w:tc>
          <w:tcPr>
            <w:tcW w:w="8889" w:type="dxa"/>
            <w:tcBorders/>
            <w:shd w:fill="FFFFFF" w:val="clear"/>
            <w:tcMar>
              <w:bottom w:w="0" w:type="dxa"/>
            </w:tcMar>
            <w:vAlign w:val="center"/>
          </w:tcPr>
          <w:p>
            <w:pPr>
              <w:pStyle w:val="TableContents"/>
              <w:bidi w:val="0"/>
              <w:spacing w:before="0" w:after="283"/>
              <w:jc w:val="both"/>
              <w:rPr/>
            </w:pPr>
            <w:hyperlink r:id="rId18">
              <w:r>
                <w:rPr>
                  <w:rStyle w:val="InternetLink"/>
                </w:rPr>
                <w:t>Opinion of Haynes and Boone, LLP.</w:t>
              </w:r>
            </w:hyperlink>
            <w:r>
              <w:rPr/>
              <w:t xml:space="preserve"> </w:t>
            </w:r>
          </w:p>
        </w:tc>
      </w:tr>
      <w:tr>
        <w:trPr/>
        <w:tc>
          <w:tcPr>
            <w:tcW w:w="1231" w:type="dxa"/>
            <w:tcBorders/>
            <w:shd w:fill="CCEEFF" w:val="clear"/>
            <w:tcMar>
              <w:bottom w:w="0" w:type="dxa"/>
            </w:tcMar>
            <w:vAlign w:val="center"/>
          </w:tcPr>
          <w:p>
            <w:pPr>
              <w:pStyle w:val="TableContents"/>
              <w:bidi w:val="0"/>
              <w:spacing w:before="0" w:after="283"/>
              <w:jc w:val="both"/>
              <w:rPr/>
            </w:pPr>
            <w:r>
              <w:rPr/>
              <w:t>23.1*</w:t>
            </w:r>
          </w:p>
        </w:tc>
        <w:tc>
          <w:tcPr>
            <w:tcW w:w="85" w:type="dxa"/>
            <w:tcBorders/>
            <w:shd w:fill="CCEEFF" w:val="clear"/>
            <w:tcMar>
              <w:bottom w:w="0" w:type="dxa"/>
            </w:tcMar>
            <w:vAlign w:val="center"/>
          </w:tcPr>
          <w:p>
            <w:pPr>
              <w:pStyle w:val="TableContents"/>
              <w:bidi w:val="0"/>
              <w:spacing w:before="0" w:after="283"/>
              <w:jc w:val="left"/>
              <w:rPr/>
            </w:pPr>
            <w:r>
              <w:rPr/>
              <w:t> </w:t>
            </w:r>
          </w:p>
        </w:tc>
        <w:tc>
          <w:tcPr>
            <w:tcW w:w="8889" w:type="dxa"/>
            <w:tcBorders/>
            <w:shd w:fill="CCEEFF" w:val="clear"/>
            <w:tcMar>
              <w:bottom w:w="0" w:type="dxa"/>
            </w:tcMar>
            <w:vAlign w:val="center"/>
          </w:tcPr>
          <w:p>
            <w:pPr>
              <w:pStyle w:val="TableContents"/>
              <w:bidi w:val="0"/>
              <w:spacing w:before="0" w:after="283"/>
              <w:jc w:val="both"/>
              <w:rPr/>
            </w:pPr>
            <w:hyperlink w:anchor="kalabio_ex23-1.htm">
              <w:r>
                <w:rPr>
                  <w:rStyle w:val="InternetLink"/>
                </w:rPr>
                <w:t>Consent of HTL International, LLC.</w:t>
              </w:r>
            </w:hyperlink>
          </w:p>
        </w:tc>
      </w:tr>
      <w:tr>
        <w:trPr/>
        <w:tc>
          <w:tcPr>
            <w:tcW w:w="1231" w:type="dxa"/>
            <w:tcBorders/>
            <w:shd w:fill="FFFFFF" w:val="clear"/>
            <w:tcMar>
              <w:bottom w:w="0" w:type="dxa"/>
            </w:tcMar>
            <w:vAlign w:val="center"/>
          </w:tcPr>
          <w:p>
            <w:pPr>
              <w:pStyle w:val="TableContents"/>
              <w:bidi w:val="0"/>
              <w:spacing w:before="0" w:after="283"/>
              <w:jc w:val="both"/>
              <w:rPr/>
            </w:pPr>
            <w:r>
              <w:rPr/>
              <w:t>23.2*</w:t>
            </w:r>
          </w:p>
        </w:tc>
        <w:tc>
          <w:tcPr>
            <w:tcW w:w="85" w:type="dxa"/>
            <w:tcBorders/>
            <w:shd w:fill="FFFFFF" w:val="clear"/>
            <w:tcMar>
              <w:bottom w:w="0" w:type="dxa"/>
            </w:tcMar>
            <w:vAlign w:val="center"/>
          </w:tcPr>
          <w:p>
            <w:pPr>
              <w:pStyle w:val="TableContents"/>
              <w:bidi w:val="0"/>
              <w:spacing w:before="0" w:after="283"/>
              <w:jc w:val="left"/>
              <w:rPr/>
            </w:pPr>
            <w:r>
              <w:rPr/>
              <w:t> </w:t>
            </w:r>
          </w:p>
        </w:tc>
        <w:tc>
          <w:tcPr>
            <w:tcW w:w="8889" w:type="dxa"/>
            <w:tcBorders/>
            <w:shd w:fill="FFFFFF" w:val="clear"/>
            <w:tcMar>
              <w:bottom w:w="0" w:type="dxa"/>
            </w:tcMar>
            <w:vAlign w:val="center"/>
          </w:tcPr>
          <w:p>
            <w:pPr>
              <w:pStyle w:val="TableContents"/>
              <w:bidi w:val="0"/>
              <w:spacing w:before="0" w:after="283"/>
              <w:jc w:val="both"/>
              <w:rPr/>
            </w:pPr>
            <w:hyperlink w:anchor="kalabio_ex23-2.htm">
              <w:r>
                <w:rPr>
                  <w:rStyle w:val="InternetLink"/>
                </w:rPr>
                <w:t>Consent of Deloitte &amp; Touche LLP.</w:t>
              </w:r>
            </w:hyperlink>
          </w:p>
        </w:tc>
      </w:tr>
      <w:tr>
        <w:trPr/>
        <w:tc>
          <w:tcPr>
            <w:tcW w:w="1231" w:type="dxa"/>
            <w:tcBorders/>
            <w:shd w:fill="CCEEFF" w:val="clear"/>
            <w:tcMar>
              <w:bottom w:w="0" w:type="dxa"/>
            </w:tcMar>
            <w:vAlign w:val="center"/>
          </w:tcPr>
          <w:p>
            <w:pPr>
              <w:pStyle w:val="TableContents"/>
              <w:bidi w:val="0"/>
              <w:spacing w:before="0" w:after="283"/>
              <w:jc w:val="both"/>
              <w:rPr/>
            </w:pPr>
            <w:r>
              <w:rPr/>
              <w:t xml:space="preserve">23.3*** </w:t>
            </w:r>
          </w:p>
        </w:tc>
        <w:tc>
          <w:tcPr>
            <w:tcW w:w="85" w:type="dxa"/>
            <w:tcBorders/>
            <w:shd w:fill="CCEEFF" w:val="clear"/>
            <w:tcMar>
              <w:bottom w:w="0" w:type="dxa"/>
            </w:tcMar>
            <w:vAlign w:val="center"/>
          </w:tcPr>
          <w:p>
            <w:pPr>
              <w:pStyle w:val="TableContents"/>
              <w:bidi w:val="0"/>
              <w:spacing w:before="0" w:after="283"/>
              <w:jc w:val="left"/>
              <w:rPr/>
            </w:pPr>
            <w:r>
              <w:rPr/>
              <w:t xml:space="preserve">  </w:t>
            </w:r>
          </w:p>
        </w:tc>
        <w:tc>
          <w:tcPr>
            <w:tcW w:w="8889" w:type="dxa"/>
            <w:tcBorders/>
            <w:shd w:fill="CCEEFF" w:val="clear"/>
            <w:tcMar>
              <w:bottom w:w="0" w:type="dxa"/>
            </w:tcMar>
            <w:vAlign w:val="center"/>
          </w:tcPr>
          <w:p>
            <w:pPr>
              <w:pStyle w:val="TableContents"/>
              <w:bidi w:val="0"/>
              <w:spacing w:before="0" w:after="283"/>
              <w:jc w:val="both"/>
              <w:rPr/>
            </w:pPr>
            <w:hyperlink r:id="rId19">
              <w:r>
                <w:rPr>
                  <w:rStyle w:val="InternetLink"/>
                </w:rPr>
                <w:t>Consent of Haynes and Boone, LLP (included in the opinion filed as Exhibit 5.1).</w:t>
              </w:r>
            </w:hyperlink>
            <w:r>
              <w:rPr/>
              <w:t xml:space="preserve"> </w:t>
            </w:r>
          </w:p>
        </w:tc>
      </w:tr>
      <w:tr>
        <w:trPr/>
        <w:tc>
          <w:tcPr>
            <w:tcW w:w="1231" w:type="dxa"/>
            <w:tcBorders/>
            <w:shd w:fill="FFFFFF" w:val="clear"/>
            <w:tcMar>
              <w:bottom w:w="0" w:type="dxa"/>
            </w:tcMar>
            <w:vAlign w:val="center"/>
          </w:tcPr>
          <w:p>
            <w:pPr>
              <w:pStyle w:val="TableContents"/>
              <w:bidi w:val="0"/>
              <w:spacing w:before="0" w:after="283"/>
              <w:jc w:val="both"/>
              <w:rPr/>
            </w:pPr>
            <w:r>
              <w:rPr/>
              <w:t xml:space="preserve">24.1*** </w:t>
            </w:r>
          </w:p>
        </w:tc>
        <w:tc>
          <w:tcPr>
            <w:tcW w:w="85" w:type="dxa"/>
            <w:tcBorders/>
            <w:shd w:fill="FFFFFF" w:val="clear"/>
            <w:tcMar>
              <w:bottom w:w="0" w:type="dxa"/>
            </w:tcMar>
            <w:vAlign w:val="center"/>
          </w:tcPr>
          <w:p>
            <w:pPr>
              <w:pStyle w:val="TableContents"/>
              <w:bidi w:val="0"/>
              <w:spacing w:before="0" w:after="283"/>
              <w:jc w:val="left"/>
              <w:rPr/>
            </w:pPr>
            <w:r>
              <w:rPr/>
              <w:t xml:space="preserve">  </w:t>
            </w:r>
          </w:p>
        </w:tc>
        <w:tc>
          <w:tcPr>
            <w:tcW w:w="8889" w:type="dxa"/>
            <w:tcBorders/>
            <w:shd w:fill="FFFF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"https://www.sec.gov/Archives/edgar/data/1479419/000182912626004790/kalabio_s3.htm" \l "poa"</w:instrText>
            </w:r>
            <w:r>
              <w:rPr>
                <w:rStyle w:val="InternetLink"/>
              </w:rPr>
              <w:fldChar w:fldCharType="separate"/>
            </w:r>
            <w:r>
              <w:rPr>
                <w:rStyle w:val="InternetLink"/>
              </w:rPr>
              <w:t>Power of Attorney (included on the signature page of this Registration Statement).</w:t>
            </w:r>
            <w:r>
              <w:rPr>
                <w:rStyle w:val="InternetLink"/>
              </w:rPr>
              <w:fldChar w:fldCharType="end"/>
            </w:r>
            <w:r>
              <w:rPr/>
              <w:t xml:space="preserve"> </w:t>
            </w:r>
          </w:p>
        </w:tc>
      </w:tr>
      <w:tr>
        <w:trPr/>
        <w:tc>
          <w:tcPr>
            <w:tcW w:w="1231" w:type="dxa"/>
            <w:tcBorders/>
            <w:shd w:fill="CCEEFF" w:val="clear"/>
            <w:tcMar>
              <w:bottom w:w="0" w:type="dxa"/>
            </w:tcMar>
            <w:vAlign w:val="center"/>
          </w:tcPr>
          <w:p>
            <w:pPr>
              <w:pStyle w:val="TableContents"/>
              <w:bidi w:val="0"/>
              <w:spacing w:before="0" w:after="283"/>
              <w:jc w:val="both"/>
              <w:rPr/>
            </w:pPr>
            <w:r>
              <w:rPr/>
              <w:t>25.1**</w:t>
            </w:r>
          </w:p>
        </w:tc>
        <w:tc>
          <w:tcPr>
            <w:tcW w:w="85" w:type="dxa"/>
            <w:tcBorders/>
            <w:shd w:fill="CCEEFF" w:val="clear"/>
            <w:tcMar>
              <w:bottom w:w="0" w:type="dxa"/>
            </w:tcMar>
            <w:vAlign w:val="center"/>
          </w:tcPr>
          <w:p>
            <w:pPr>
              <w:pStyle w:val="TableContents"/>
              <w:bidi w:val="0"/>
              <w:spacing w:before="0" w:after="283"/>
              <w:jc w:val="left"/>
              <w:rPr/>
            </w:pPr>
            <w:r>
              <w:rPr/>
              <w:t> </w:t>
            </w:r>
          </w:p>
        </w:tc>
        <w:tc>
          <w:tcPr>
            <w:tcW w:w="8889" w:type="dxa"/>
            <w:tcBorders/>
            <w:shd w:fill="CCEEFF" w:val="clear"/>
            <w:tcMar>
              <w:bottom w:w="0" w:type="dxa"/>
            </w:tcMar>
            <w:vAlign w:val="center"/>
          </w:tcPr>
          <w:p>
            <w:pPr>
              <w:pStyle w:val="TableContents"/>
              <w:bidi w:val="0"/>
              <w:spacing w:before="0" w:after="283"/>
              <w:jc w:val="both"/>
              <w:rPr/>
            </w:pPr>
            <w:r>
              <w:rPr/>
              <w:t>Statement of Trustee Eligibility.</w:t>
            </w:r>
          </w:p>
        </w:tc>
      </w:tr>
      <w:tr>
        <w:trPr/>
        <w:tc>
          <w:tcPr>
            <w:tcW w:w="1231" w:type="dxa"/>
            <w:tcBorders/>
            <w:shd w:fill="FFFFFF" w:val="clear"/>
            <w:tcMar>
              <w:bottom w:w="0" w:type="dxa"/>
            </w:tcMar>
            <w:vAlign w:val="center"/>
          </w:tcPr>
          <w:p>
            <w:pPr>
              <w:pStyle w:val="TableContents"/>
              <w:bidi w:val="0"/>
              <w:spacing w:before="0" w:after="283"/>
              <w:jc w:val="both"/>
              <w:rPr/>
            </w:pPr>
            <w:r>
              <w:rPr/>
              <w:t xml:space="preserve">107*** </w:t>
            </w:r>
          </w:p>
        </w:tc>
        <w:tc>
          <w:tcPr>
            <w:tcW w:w="85" w:type="dxa"/>
            <w:tcBorders/>
            <w:shd w:fill="FFFFFF" w:val="clear"/>
            <w:tcMar>
              <w:bottom w:w="0" w:type="dxa"/>
            </w:tcMar>
            <w:vAlign w:val="center"/>
          </w:tcPr>
          <w:p>
            <w:pPr>
              <w:pStyle w:val="TableContents"/>
              <w:bidi w:val="0"/>
              <w:spacing w:before="0" w:after="283"/>
              <w:jc w:val="left"/>
              <w:rPr/>
            </w:pPr>
            <w:r>
              <w:rPr/>
              <w:t xml:space="preserve">  </w:t>
            </w:r>
          </w:p>
        </w:tc>
        <w:tc>
          <w:tcPr>
            <w:tcW w:w="8889" w:type="dxa"/>
            <w:tcBorders/>
            <w:shd w:fill="FFFFFF" w:val="clear"/>
            <w:tcMar>
              <w:bottom w:w="0" w:type="dxa"/>
            </w:tcMar>
            <w:vAlign w:val="center"/>
          </w:tcPr>
          <w:p>
            <w:pPr>
              <w:pStyle w:val="TableContents"/>
              <w:bidi w:val="0"/>
              <w:spacing w:before="0" w:after="283"/>
              <w:jc w:val="both"/>
              <w:rPr/>
            </w:pPr>
            <w:hyperlink r:id="rId20">
              <w:r>
                <w:rPr>
                  <w:rStyle w:val="InternetLink"/>
                </w:rPr>
                <w:t>Filing Fee Table.</w:t>
              </w:r>
            </w:hyperlink>
            <w:r>
              <w:rPr/>
              <w:t xml:space="preserve">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both"/>
              <w:rPr/>
            </w:pPr>
            <w:r>
              <w:rPr/>
              <w:t>*</w:t>
            </w:r>
          </w:p>
        </w:tc>
        <w:tc>
          <w:tcPr>
            <w:tcW w:w="9787" w:type="dxa"/>
            <w:tcBorders/>
            <w:vAlign w:val="center"/>
          </w:tcPr>
          <w:p>
            <w:pPr>
              <w:pStyle w:val="TableContents"/>
              <w:bidi w:val="0"/>
              <w:spacing w:before="0" w:after="283"/>
              <w:jc w:val="both"/>
              <w:rPr/>
            </w:pPr>
            <w:r>
              <w:rPr/>
              <w:t>Filed herewith.</w:t>
            </w:r>
          </w:p>
        </w:tc>
      </w:tr>
      <w:tr>
        <w:trPr/>
        <w:tc>
          <w:tcPr>
            <w:tcW w:w="418" w:type="dxa"/>
            <w:tcBorders/>
            <w:vAlign w:val="center"/>
          </w:tcPr>
          <w:p>
            <w:pPr>
              <w:pStyle w:val="TableContents"/>
              <w:bidi w:val="0"/>
              <w:spacing w:before="0" w:after="283"/>
              <w:jc w:val="both"/>
              <w:rPr/>
            </w:pPr>
            <w:r>
              <w:rPr/>
              <w:t>**</w:t>
            </w:r>
          </w:p>
        </w:tc>
        <w:tc>
          <w:tcPr>
            <w:tcW w:w="9787" w:type="dxa"/>
            <w:tcBorders/>
            <w:vAlign w:val="center"/>
          </w:tcPr>
          <w:p>
            <w:pPr>
              <w:pStyle w:val="TableContents"/>
              <w:bidi w:val="0"/>
              <w:spacing w:before="0" w:after="283"/>
              <w:jc w:val="both"/>
              <w:rPr/>
            </w:pPr>
            <w:r>
              <w:rPr/>
              <w:t>To be filed by amendment or as an exhibit to a report pursuant to Section 13(a), 13(c) or 15(d) of the Exchange Act.</w:t>
            </w:r>
          </w:p>
        </w:tc>
      </w:tr>
      <w:tr>
        <w:trPr/>
        <w:tc>
          <w:tcPr>
            <w:tcW w:w="418" w:type="dxa"/>
            <w:tcBorders/>
            <w:vAlign w:val="center"/>
          </w:tcPr>
          <w:p>
            <w:pPr>
              <w:pStyle w:val="TableContents"/>
              <w:bidi w:val="0"/>
              <w:spacing w:before="0" w:after="283"/>
              <w:jc w:val="both"/>
              <w:rPr/>
            </w:pPr>
            <w:r>
              <w:rPr/>
              <w:t xml:space="preserve">*** </w:t>
            </w:r>
          </w:p>
        </w:tc>
        <w:tc>
          <w:tcPr>
            <w:tcW w:w="9787" w:type="dxa"/>
            <w:tcBorders/>
            <w:vAlign w:val="center"/>
          </w:tcPr>
          <w:p>
            <w:pPr>
              <w:pStyle w:val="TableContents"/>
              <w:bidi w:val="0"/>
              <w:spacing w:before="0" w:after="283"/>
              <w:jc w:val="both"/>
              <w:rPr/>
            </w:pPr>
            <w:r>
              <w:rPr/>
              <w:t xml:space="preserve">Previously filed.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II-4</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(1)</w:t>
            </w:r>
          </w:p>
        </w:tc>
        <w:tc>
          <w:tcPr>
            <w:tcW w:w="9854"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w:t>
            </w:r>
          </w:p>
        </w:tc>
        <w:tc>
          <w:tcPr>
            <w:tcW w:w="9848" w:type="dxa"/>
            <w:tcBorders/>
            <w:vAlign w:val="center"/>
          </w:tcPr>
          <w:p>
            <w:pPr>
              <w:pStyle w:val="TableContents"/>
              <w:bidi w:val="0"/>
              <w:spacing w:before="0" w:after="283"/>
              <w:jc w:val="both"/>
              <w:rPr/>
            </w:pPr>
            <w:r>
              <w:rPr/>
              <w:t>To include any prospectus required by section 10(a)(3) of the Securities Act of 1933;</w:t>
            </w:r>
          </w:p>
        </w:tc>
      </w:tr>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(ii)</w:t>
            </w:r>
          </w:p>
        </w:tc>
        <w:tc>
          <w:tcPr>
            <w:tcW w:w="984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(2)</w:t>
            </w:r>
          </w:p>
        </w:tc>
        <w:tc>
          <w:tcPr>
            <w:tcW w:w="9893" w:type="dxa"/>
            <w:tcBorders/>
            <w:vAlign w:val="center"/>
          </w:tcPr>
          <w:p>
            <w:pPr>
              <w:pStyle w:val="TableContents"/>
              <w:bidi w:val="0"/>
              <w:spacing w:before="0" w:after="283"/>
              <w:jc w:val="both"/>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(3)</w:t>
            </w:r>
          </w:p>
        </w:tc>
        <w:tc>
          <w:tcPr>
            <w:tcW w:w="9893"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(4)</w:t>
            </w:r>
          </w:p>
        </w:tc>
        <w:tc>
          <w:tcPr>
            <w:tcW w:w="9893" w:type="dxa"/>
            <w:tcBorders/>
            <w:vAlign w:val="center"/>
          </w:tcPr>
          <w:p>
            <w:pPr>
              <w:pStyle w:val="TableContents"/>
              <w:bidi w:val="0"/>
              <w:spacing w:before="0" w:after="283"/>
              <w:jc w:val="both"/>
              <w:rPr/>
            </w:pPr>
            <w:r>
              <w:rPr/>
              <w:t>That, for the purpose of determining liability under the Securities Act of 1933 to any purchaser:</w:t>
            </w:r>
          </w:p>
        </w:tc>
      </w:tr>
    </w:tbl>
    <w:p>
      <w:pPr>
        <w:pStyle w:val="TextBody"/>
        <w:bidi w:val="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30"/>
        <w:gridCol w:w="65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515" w:type="dxa"/>
            <w:tcBorders/>
            <w:vAlign w:val="center"/>
          </w:tcPr>
          <w:p>
            <w:pPr>
              <w:pStyle w:val="TableContents"/>
              <w:bidi w:val="0"/>
              <w:spacing w:before="0" w:after="283"/>
              <w:jc w:val="both"/>
              <w:rPr/>
            </w:pPr>
            <w:r>
              <w:rPr/>
              <w:t>If the registrant is relying on Rule 430B (§230.430B of this chapter):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8"/>
        <w:gridCol w:w="9822"/>
      </w:tblGrid>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(A)</w:t>
            </w:r>
          </w:p>
        </w:tc>
        <w:tc>
          <w:tcPr>
            <w:tcW w:w="9822"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(B)</w:t>
            </w:r>
          </w:p>
        </w:tc>
        <w:tc>
          <w:tcPr>
            <w:tcW w:w="9866"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 (a)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283"/>
              <w:jc w:val="both"/>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II-6</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283"/>
              <w:jc w:val="both"/>
              <w:rPr/>
            </w:pPr>
            <w:r>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(7)</w:t>
            </w:r>
          </w:p>
        </w:tc>
        <w:tc>
          <w:tcPr>
            <w:tcW w:w="9909"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290"/>
        <w:gridCol w:w="4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(8)</w:t>
            </w:r>
          </w:p>
        </w:tc>
        <w:tc>
          <w:tcPr>
            <w:tcW w:w="4805" w:type="dxa"/>
            <w:tcBorders/>
            <w:vAlign w:val="center"/>
          </w:tcPr>
          <w:p>
            <w:pPr>
              <w:pStyle w:val="TableContents"/>
              <w:bidi w:val="0"/>
              <w:spacing w:before="0" w:after="283"/>
              <w:jc w:val="both"/>
              <w:rPr/>
            </w:pPr>
            <w:r>
              <w:rPr/>
              <w:t>The undersigned registrant hereby undertakes that: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(i)</w:t>
            </w:r>
          </w:p>
        </w:tc>
        <w:tc>
          <w:tcPr>
            <w:tcW w:w="9899" w:type="dxa"/>
            <w:tcBorders/>
            <w:vAlign w:val="center"/>
          </w:tcPr>
          <w:p>
            <w:pPr>
              <w:pStyle w:val="TableContents"/>
              <w:bidi w:val="0"/>
              <w:spacing w:before="0" w:after="283"/>
              <w:jc w:val="both"/>
              <w:rPr/>
            </w:pPr>
            <w:r>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both"/>
              <w:rPr/>
            </w:pPr>
            <w:r>
              <w:rPr/>
              <w:t>(ii)</w:t>
            </w:r>
          </w:p>
        </w:tc>
        <w:tc>
          <w:tcPr>
            <w:tcW w:w="9899" w:type="dxa"/>
            <w:tcBorders/>
            <w:vAlign w:val="center"/>
          </w:tcPr>
          <w:p>
            <w:pPr>
              <w:pStyle w:val="TableContents"/>
              <w:bidi w:val="0"/>
              <w:spacing w:before="0" w:after="283"/>
              <w:jc w:val="both"/>
              <w:rPr/>
            </w:pPr>
            <w:r>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(9)</w:t>
            </w:r>
          </w:p>
        </w:tc>
        <w:tc>
          <w:tcPr>
            <w:tcW w:w="9892" w:type="dxa"/>
            <w:tcBorders/>
            <w:vAlign w:val="center"/>
          </w:tcPr>
          <w:p>
            <w:pPr>
              <w:pStyle w:val="TableContents"/>
              <w:bidi w:val="0"/>
              <w:spacing w:before="0" w:after="283"/>
              <w:jc w:val="both"/>
              <w:rPr/>
            </w:pPr>
            <w:r>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II-7</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Arlington, Massachusetts, on June 12, 2026. </w:t>
      </w:r>
    </w:p>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65"/>
        <w:gridCol w:w="2285"/>
        <w:gridCol w:w="75"/>
      </w:tblGrid>
      <w:tr>
        <w:trPr/>
        <w:tc>
          <w:tcPr>
            <w:tcW w:w="2950" w:type="dxa"/>
            <w:gridSpan w:val="2"/>
            <w:tcBorders/>
            <w:vAlign w:val="center"/>
          </w:tcPr>
          <w:p>
            <w:pPr>
              <w:pStyle w:val="TableContents"/>
              <w:bidi w:val="0"/>
              <w:spacing w:before="0" w:after="283"/>
              <w:jc w:val="left"/>
              <w:rPr>
                <w:b/>
              </w:rPr>
            </w:pPr>
            <w:r>
              <w:rPr>
                <w:b/>
              </w:rPr>
              <w:t>KALA BIO, Inc.</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2285" w:type="dxa"/>
            <w:tcBorders>
              <w:bottom w:val="single" w:sz="8" w:space="0" w:color="000000"/>
            </w:tcBorders>
            <w:tcMar>
              <w:bottom w:w="28" w:type="dxa"/>
            </w:tcMar>
            <w:vAlign w:val="center"/>
          </w:tcPr>
          <w:p>
            <w:pPr>
              <w:pStyle w:val="TableContents"/>
              <w:bidi w:val="0"/>
              <w:spacing w:before="0" w:after="283"/>
              <w:jc w:val="left"/>
              <w:rPr>
                <w:i/>
              </w:rPr>
            </w:pPr>
            <w:r>
              <w:rPr>
                <w:i/>
              </w:rPr>
              <w:t>/s/ Avi Minkowitz</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Avi Minkowitz</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8565" w:type="dxa"/>
        <w:jc w:val="left"/>
        <w:tblInd w:w="0" w:type="dxa"/>
        <w:tblLayout w:type="fixed"/>
        <w:tblCellMar>
          <w:top w:w="0" w:type="dxa"/>
          <w:left w:w="0" w:type="dxa"/>
          <w:bottom w:w="28" w:type="dxa"/>
          <w:right w:w="0" w:type="dxa"/>
        </w:tblCellMar>
      </w:tblPr>
      <w:tblGrid>
        <w:gridCol w:w="2120"/>
        <w:gridCol w:w="120"/>
        <w:gridCol w:w="4985"/>
        <w:gridCol w:w="120"/>
        <w:gridCol w:w="1220"/>
      </w:tblGrid>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w:t>
            </w:r>
          </w:p>
        </w:tc>
      </w:tr>
      <w:tr>
        <w:trPr/>
        <w:tc>
          <w:tcPr>
            <w:tcW w:w="2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Avi Minkowitz</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Chief Financial Officer and 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12, 2026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Avi Minkowitz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Executive Officer and Principal Financial Officer)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Hillel Posen*</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12, 2026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Hillel Posen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Chaim (Dovi) Berger*</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12, 2026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Chaim (Dovi) Berger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Yonatan Colman*</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12, 2026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Yonatan Colman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Brendan Purdy*</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12, 2026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Brendan Purdy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Avi Minkowitz*</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12, 2026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Avi Minkowitz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power of attorney previously filed with the Securities and Exchange Commission.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II-8</w:t>
      </w:r>
    </w:p>
    <w:p>
      <w:pPr>
        <w:pStyle w:val="TextBody"/>
        <w:bidi w:val="0"/>
        <w:jc w:val="left"/>
        <w:rPr>
          <w:caps w:val="false"/>
          <w:smallCaps w:val="false"/>
        </w:rPr>
      </w:pPr>
      <w:bookmarkStart w:id="17" w:name="kalabio_ex4-1.htm"/>
      <w:bookmarkStart w:id="18" w:name="kskalabio_ex41"/>
      <w:bookmarkEnd w:id="17"/>
      <w:bookmarkEnd w:id="1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REGISTERED UNDER SECTION 12 OF THE EXCHANGE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registered securities of KALA BIO, Inc. (“us,” “our,” “we” or the “Company”) is intended as a summary only and therefore is not a complete description of our capital stock. This description is based upon, and is qualified by reference to, our certificate of incorporation, our bylaws and applicable provisions of the Delaware General Corporate Law (the “DGCL”). You should read our certificate of incorporation and our bylaws, which are incorporated by reference as Exhibit 3.1 and Exhibit 3.2, respectively, to the Annual Report on Form 10-K filed on April 15, 2026 for the provisions that are important to you.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1,500,000,000 shares of common stock, par value $0.001 per share, and 5,000,000 shares of preferred stock, par value $0.001 per share, of which 900,000 shares of preferred stock are designated the “Series AA Convertible Non-Redeemable Preferred Stock”, or the Series AA Preferred Stock. Our common stock is registered under Section 12(b) of the Securities Exchange Act of 1934, as amended, or the Exchange Act. Our Series AA Preferred Stock is not registered under Section 12(b) of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Annual Meeting</w:t>
      </w:r>
      <w:r>
        <w:rPr>
          <w:rFonts w:ascii="Times New Roman;Times;Serif" w:hAnsi="Times New Roman;Times;Serif"/>
          <w:b w:val="false"/>
          <w:i w:val="false"/>
          <w:caps w:val="false"/>
          <w:smallCaps w:val="false"/>
          <w:sz w:val="20"/>
        </w:rPr>
        <w:t>. Annual meetings of our stockholders are held on the date designated in accordance with our by-laws. Written notice must be mailed to each stockholder entitled to vote not less than ten nor more than 60 days before the date of the meeting. The presence in person or by proxy of the holders of one third of the voting power of the shares of the capital stock of the corporation issued and outstanding and entitled to vote at such meeting constitutes a quorum for the transaction of business at meetings of the stockholders. Special meetings of the stockholders may be called for any purpose by the board of directors, the chairman of the board or the chief executive officer. Except as may be otherwise provided by applicable law, our certificate of incorporation or our by-laws, all elections of directors shall be decided by a plurality, and all other questions shall be decided by a majority, of the votes cast by stockholders entitled to vote thereon at a duly held meeting of stockholders at which a quorum is present.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our common stock are entitled to one vote for each share held on all matters submitted to a vote of stockholders and do not have cumulative voting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as may be declared by our board of directors, subject to any preferential dividend rights of outstanding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Dissolution</w:t>
      </w:r>
      <w:r>
        <w:rPr>
          <w:rFonts w:ascii="Times New Roman;Times;Serif" w:hAnsi="Times New Roman;Times;Serif"/>
          <w:b w:val="false"/>
          <w:i w:val="false"/>
          <w:caps w:val="false"/>
          <w:smallCaps w:val="false"/>
          <w:sz w:val="20"/>
        </w:rPr>
        <w:t>. In the event of our liquidation or dissolution, the holders of our common stock are entitled to receive proportionately all assets available for distribution to stockholders after the payment of all debts and other liabilities and subject to any preferential rights of any outstanding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Holders of our common stock have no preemptive, subscription, redemption or conversion rights. The rights, preferences and privileges of holders of our common stock are subject to and may be adversely affected by the rights of the holders of our Series AA Preferred Stock and shares of any series of our preferred stock that we may designate and issue in the future.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AA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Designations. Pursuant to our Certificate of Designations, Preferences and Rights of Series AA Convertible Non-Redeemable Preferred Stock, or the Series AA Certificate of Designations, filed with the Secretary of State of the State of Delaware, we designated 900,000 shares of our authorized and unissued preferred stock as Series AA Preferred Stock, and established the rights, preferences and privileges of the Series AA Preferred Stock, which are summarized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Subject to our stockholders approving each of (A) an increase in the number of authorized shares of common stock to enable us to issue all of the shares of common stock issuable upon the conversion of the Series AA Preferred Stock and (B) the conversion of the Series AA Preferred Stock into shares of common stock in accordance with the listing rules of the Nasdaq Stock Market (collectively, the “Stockholder Approvals”), and subject to the filing of an amendment to our certificate of incorporation with the Secretary of State of the State of Delaware evidencing such stockholder approval (the “Charter Amendment”), each share of Series AA Preferred Stock is convertible at the option of the holder, at any time and from time to time after the Stockholder Approvals and the filing of the Charter Amendment, into a number of fully paid and nonassessable shares of our common stock equal to the Stated Value of $2.00 divided by the Conversion Price of $1.818 (each subject to adjustment as provided in the Series AA Certificate of Designations). The Conversion Price is subject to proportionate adjustment in the event of subdivisions or combinations of our common stock and stock dividends payable in shares of our common stock. In addition, in the event of any reorganization, recapitalization, reclassification, merger or consolidation in which our common stock is converted into or exchanged for other securities, cash or property, provision shall be made so that holders of Series AA Preferred Stock shall thereafter be entitled to receive upon conversion the kind and amount of shares, cash or other property they would have received had they converted immediately prior to such event. Fractional shares of common stock will not be issued upon conversion; instead, we will pay a cash adjustment for any fractional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The shares of Series AA Preferred Stock generally have no voting rights, except as otherwise provided by the DGCL or other applicable law. However, so long as any shares of Series AA Preferred Stock are outstanding, we may not, without the approval of the holders of a majority of the then outstanding shares of Series AA Preferred Stock (the “Requisite Holders”): (i) alter, repeal or change the powers, preferences or rights of the Series AA Preferred Stock or alter or amend the Series AA Certificate of Designations so as to adversely affect the Series AA Preferred Stock; (ii) supplement, amend, restate, repeal or waive any provision of our certificate of incorporation or bylaws, or file any certificate of amendment or certificate of designation, if such action would adversely alter or change the preferences, rights, privileges or powers of, or restrictions provided for the benefit of, the Series AA Preferred Stock, regardless of whether any such action shall be by means of amendment to the certificate of incorporation or by merger, consolidation, recapitalization, reclassification, conversion or otherwise; (iii) increase or decrease (other than by conversion) the number of authorized shares of Series AA Preferred Stock; or (iv) enter into any agreement with respect to any of the foregoing. Any provision of the Series AA Certificate of Designations may be waived on behalf of all holders of Series AA Preferred Stock by the affirmative written consent or vote of the Requisite 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w:t>
      </w:r>
      <w:r>
        <w:rPr>
          <w:rFonts w:ascii="Times New Roman;Times;Serif" w:hAnsi="Times New Roman;Times;Serif"/>
          <w:b w:val="false"/>
          <w:i w:val="false"/>
          <w:caps w:val="false"/>
          <w:smallCaps w:val="false"/>
          <w:sz w:val="20"/>
        </w:rPr>
        <w:t>. The Series AA Preferred Stock ranks senior to all of our common stock and on parity with any class or series of our capital stock created in the future specifically ranking by its terms on parity with the Series AA Preferred Stock (the “Parity Securities”), in each case, as to distributions of assets upon our liquidation, dissolution or winding up, whether voluntarily or involuntarily (each, a “Dissolution”).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w:t>
      </w:r>
      <w:r>
        <w:rPr>
          <w:rFonts w:ascii="Times New Roman;Times;Serif" w:hAnsi="Times New Roman;Times;Serif"/>
          <w:b w:val="false"/>
          <w:i w:val="false"/>
          <w:caps w:val="false"/>
          <w:smallCaps w:val="false"/>
          <w:sz w:val="20"/>
        </w:rPr>
        <w:t xml:space="preserve">. In the event of a Dissolution, each holder of Series AA Preferred Stock shall be entitled to receive, prior and in preference to any distributions to the holders of our common stock and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any distribution to the holders of Parity Securities, an amount per share of Series AA Preferred Stock equal to the greater of (i) the Stated Value of $2.00 (subject to adjustment in the event of any stock dividend, stock split, combination, reorganization, recapitalization, reclassification, or other similar event with respect to the Series AA Preferred Stock), plus any dividends declared but unpaid on such share, or (ii) such amount per share as would have been payable had all shares of Series AA Preferred Stock been converted into our common stock (without regard to any restrictions on conversion) immediately prior to such Dissolution. If, upon any such Dissolution, our assets shall be insufficient to pay the holders of shares of the Series AA Preferred Stock the amount required under the preceding sentence, the holders of Series AA Preferred Stock and the holders of shares of Parity Securities shall share in any distribution of the assets available for distribution in proportion to the respective amounts which would otherwise have been payable in respect of the shares held by them upon such distribution if all amounts payable on or with respect to such shares were paid in full.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any doubt, neither a change in control of the Company, the merger or consolidation of the Company with or into any other entity, nor the sale, lease, exchange or other disposition of all or substantially all of our assets shall, in and of itself, be deemed to constitute a Dissolution.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Shares of Series AA Preferred Stock are entitled to receive dividends on an as-if-converted-to-common-stock basis, in the same form and manner as dividends actually paid on shares of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of Our Certificate of Incorporation and By-laws and Delaware Law That May Have Anti-Takeover Effects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Delaware Law</w:t>
      </w:r>
      <w:r>
        <w:rPr>
          <w:rFonts w:ascii="Times New Roman;Times;Serif" w:hAnsi="Times New Roman;Times;Serif"/>
          <w:b w:val="false"/>
          <w:i w:val="false"/>
          <w:caps w:val="false"/>
          <w:smallCaps w:val="false"/>
          <w:sz w:val="20"/>
        </w:rPr>
        <w:t>. 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Staggered Board; Removal of Directors. </w:t>
      </w:r>
      <w:r>
        <w:rPr>
          <w:rFonts w:ascii="Times New Roman;Times;Serif" w:hAnsi="Times New Roman;Times;Serif"/>
          <w:b w:val="false"/>
          <w:i w:val="false"/>
          <w:caps w:val="false"/>
          <w:smallCaps w:val="false"/>
          <w:sz w:val="20"/>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75% of our shares of capital stock present in person or by proxy and entitled to vote. Under our certificate of incorporation and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Stockholder Action; Special Meeting of Stockholders; Advance Notice Requirements for Stockholder Proposals and Director Nominations. </w:t>
      </w:r>
      <w:r>
        <w:rPr>
          <w:rFonts w:ascii="Times New Roman;Times;Serif" w:hAnsi="Times New Roman;Times;Serif"/>
          <w:b w:val="false"/>
          <w:i w:val="false"/>
          <w:caps w:val="false"/>
          <w:smallCaps w:val="false"/>
          <w:sz w:val="20"/>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the chairman of our board of directors, our chief executive officer or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Super-Majority Voting. </w:t>
      </w: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Exclusive Forum Selection. </w:t>
      </w:r>
      <w:r>
        <w:rPr>
          <w:rFonts w:ascii="Times New Roman;Times;Serif" w:hAnsi="Times New Roman;Times;Serif"/>
          <w:b w:val="false"/>
          <w:i w:val="false"/>
          <w:caps w:val="false"/>
          <w:smallCaps w:val="false"/>
          <w:sz w:val="20"/>
        </w:rPr>
        <w:t>Our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or employees to our company or our stockholders, (3) any action asserting a claim arising pursuant to any provision of the General Corporation Law of the State of Delaware or as to which the General Corporation Law of the State of Delaware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Although our certificate of incorporation contains the choice of forum provision described above, we do not expect this choice of forum provision will apply to suits brought to enforce a duty or liability created by the Securities Act of 1933, as amended, the Exchange Act, or any other claim for which federal courts have exclusive jurisdiction.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jc w:val="left"/>
        <w:rPr>
          <w:caps w:val="false"/>
          <w:smallCaps w:val="false"/>
        </w:rPr>
      </w:pPr>
      <w:bookmarkStart w:id="19" w:name="kalabio_ex23-1.htm"/>
      <w:bookmarkStart w:id="20" w:name="kskalabio_ex231"/>
      <w:bookmarkEnd w:id="19"/>
      <w:bookmarkEnd w:id="2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KALA BIO, Inc of our report dated April 15, 2026, with respect to the consolidated financial statements of KALA BIO, Inc as of December 31, 2025, and for the year then ended, appearing in KALA BIO Inc’s Annual Report on Form 10-K for the fiscal year ended December 31, 2025, filed with the Securities and Exchange Commission on April 15,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Registration Statement.</w:t>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12, 2026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21" w:name="kalabio_ex23-2.htm"/>
      <w:bookmarkStart w:id="22" w:name="kskalabio_ex232"/>
      <w:bookmarkEnd w:id="21"/>
      <w:bookmarkEnd w:id="2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No. 333-295667 on Form S-3 of our report dated March 31, 2025, relating to the financial statements of KALA BIO, Inc. appearing in the Annual Report on Form 10-K of KALA BIO, Inc. for the year ended December 31, 2025. We also consent to the reference to us under the heading “Experts” in such Registration Statement.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br/>
        <w:t>June 12,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79419/000110465926043782/kala-20251231x10k.htm" TargetMode="External"/><Relationship Id="rId3" Type="http://schemas.openxmlformats.org/officeDocument/2006/relationships/hyperlink" Target="https://www.sec.gov/ix?doc=/Archives/edgar/data/1479419/000110465926062397/kala-20260331x10q.htm" TargetMode="External"/><Relationship Id="rId4" Type="http://schemas.openxmlformats.org/officeDocument/2006/relationships/hyperlink" Target="https://www.sec.gov/ix?doc=/Archives/edgar/data/1479419/000182912626000023/kalabio_8k.htm" TargetMode="External"/><Relationship Id="rId5" Type="http://schemas.openxmlformats.org/officeDocument/2006/relationships/hyperlink" Target="https://www.sec.gov/ix?doc=/Archives/edgar/data/1479419/000182912626000055/kalabio_8k.htm" TargetMode="External"/><Relationship Id="rId6" Type="http://schemas.openxmlformats.org/officeDocument/2006/relationships/hyperlink" Target="https://www.sec.gov/ix?doc=/Archives/edgar/data/1479419/000182912626000110/kalabio_8k.htm" TargetMode="External"/><Relationship Id="rId7" Type="http://schemas.openxmlformats.org/officeDocument/2006/relationships/hyperlink" Target="https://www.sec.gov/ix?doc=/Archives/edgar/data/1479419/000182912626000502/kalabio_8k.htm" TargetMode="External"/><Relationship Id="rId8" Type="http://schemas.openxmlformats.org/officeDocument/2006/relationships/hyperlink" Target="https://www.sec.gov/ix?doc=/Archives/edgar/data/1479419/000182912626000837/kalabio_8k.htm" TargetMode="External"/><Relationship Id="rId9" Type="http://schemas.openxmlformats.org/officeDocument/2006/relationships/hyperlink" Target="https://www.sec.gov/ix?doc=/Archives/edgar/data/1479419/000182912626000995/kalabio_8k.htm" TargetMode="External"/><Relationship Id="rId10" Type="http://schemas.openxmlformats.org/officeDocument/2006/relationships/hyperlink" Target="https://www.sec.gov/ix?doc=/Archives/edgar/data/1479419/000182912626001534/kalabio_8k.htm" TargetMode="External"/><Relationship Id="rId11" Type="http://schemas.openxmlformats.org/officeDocument/2006/relationships/hyperlink" Target="https://www.sec.gov/ix?doc=/Archives/edgar/data/1479419/000182912626001911/kalabio_8k.htm" TargetMode="External"/><Relationship Id="rId12" Type="http://schemas.openxmlformats.org/officeDocument/2006/relationships/hyperlink" Target="https://www.sec.gov/ix?doc=/Archives/edgar/data/1479419/000182912626004744/kalabio_8k.htm" TargetMode="External"/><Relationship Id="rId13" Type="http://schemas.openxmlformats.org/officeDocument/2006/relationships/hyperlink" Target="https://www.sec.gov/Archives/edgar/data/1479419/000155837023002746/kala-20221231xex4d1.htm" TargetMode="External"/><Relationship Id="rId14" Type="http://schemas.openxmlformats.org/officeDocument/2006/relationships/hyperlink" Target="https://www.sec.gov/Archives/edgar/data/1479419/000182912625009432/kalabio_ex4-1.htm" TargetMode="External"/><Relationship Id="rId15" Type="http://schemas.openxmlformats.org/officeDocument/2006/relationships/hyperlink" Target="https://www.sec.gov/Archives/edgar/data/1479419/000182912625009747/kalabio_ex4-1.htm" TargetMode="External"/><Relationship Id="rId16" Type="http://schemas.openxmlformats.org/officeDocument/2006/relationships/hyperlink" Target="https://www.sec.gov/Archives/edgar/data/1479419/000182912626004790/kalabio_ex4-5.htm" TargetMode="External"/><Relationship Id="rId17" Type="http://schemas.openxmlformats.org/officeDocument/2006/relationships/hyperlink" Target="https://www.sec.gov/Archives/edgar/data/1479419/000182912626004790/kalabio_ex4-6.htm" TargetMode="External"/><Relationship Id="rId18" Type="http://schemas.openxmlformats.org/officeDocument/2006/relationships/hyperlink" Target="https://www.sec.gov/Archives/edgar/data/1479419/000182912626004790/kalabio_ex5-1.htm" TargetMode="External"/><Relationship Id="rId19" Type="http://schemas.openxmlformats.org/officeDocument/2006/relationships/hyperlink" Target="https://www.sec.gov/Archives/edgar/data/1479419/000182912626004790/kalabio_ex5-1.htm" TargetMode="External"/><Relationship Id="rId20" Type="http://schemas.openxmlformats.org/officeDocument/2006/relationships/hyperlink" Target="https://www.sec.gov/ix?doc=/Archives/edgar/data/1479419/000182912626004790/kalabio_ex107.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23606</Words>
  <Characters>124528</Characters>
  <CharactersWithSpaces>148765</CharactersWithSpaces>
  <Paragraphs>2094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