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kalabio_424b5.htm"/>
      <w:bookmarkStart w:id="1" w:name="kskalabio_424b5"/>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333-295667</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June 25,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8001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$250,000,000</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the Market Offering Agreement (the “Sales Agreement”), with H.C. Wainwright &amp; Co., LLC (“Wainwright” or the “sales agent”) relating to the sale of shares of our common stock, par value $0.001 per share (the “common stock”), offered by this prospectus supplement and the accompanying prospectus. In accordance with the terms of such Sales Agreement, we may offer and sell shares of our common stock having an aggregate offering price of up to $250,000,000 from time to time through or to Wainwright acting as our agent or principal.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and the accompanying prospectus will be made by any method permitted that is deemed an “at the market” offering as defined in Rule 415(a)(4) under the Securities Act of 1933, as amended, or the Securities Act, including sales made directly on or through the Nasdaq Capital Market (“Nasdaq”), or any other existing trading market in the United States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Under the Sales Agreement, Wainwright is not required to sell any specific number or dollar amount of securities, but Wainwright will act as our sales agent using commercially reasonable efforts consistent with its normal trading and sales practices. There is no arrangement for funds to be received in any escrow, trust or similar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Wainwright will be entitled to compensation at a commission rate of 3.0% of the gross sales price per share sold under the Sales Agreement. See “Plan of Distribution” beginning on page S-15 for additional information regarding the compensation to be paid to Wainwright. In connection with the sale of the shares of common stock on our behalf, Wainwright will be deemed to be an “underwriter” within the meaning of the Securities Act, and the compensation of Wainwright will be deemed to be underwriting commissions or discounts. We have also agreed to provide indemnification and contribution to Wainwright with respect to certain liabilities, including liabilities under the Securities Act. This offering pursuant to this prospectus supplement and the accompanying prospectus will terminate upon termination by us or Wainwright of the Sales Agreement pursuant to its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“KALA.” On July 17, 2026, the last reported sale price of the common stock on Nasdaq was $0.78 per share.</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i w:val="false"/>
          <w:caps w:val="false"/>
          <w:smallCaps w:val="false"/>
          <w:sz w:val="20"/>
        </w:rPr>
        <w:t>Investing in our securities involves risks that are described in the “</w:t>
      </w:r>
      <w:hyperlink w:anchor="a_004">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S-10 of this prospectus supplement, page 8 of the accompanying prospectus and under similar headings in the documents incorporated by reference herein and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H.C. Wainwright &amp; Co.</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July 22, 2026.</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6245"/>
        <w:gridCol w:w="60"/>
        <w:gridCol w:w="45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6245"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6245"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RISK FACTORS</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245"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DIVIDEND POLICY</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r>
        <w:trPr/>
        <w:tc>
          <w:tcPr>
            <w:tcW w:w="62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S-15</w:t>
            </w:r>
          </w:p>
        </w:tc>
      </w:tr>
      <w:tr>
        <w:trPr/>
        <w:tc>
          <w:tcPr>
            <w:tcW w:w="6245"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LEGAL MATTERS</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S-17</w:t>
            </w:r>
          </w:p>
        </w:tc>
      </w:tr>
      <w:tr>
        <w:trPr/>
        <w:tc>
          <w:tcPr>
            <w:tcW w:w="62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S-17</w:t>
            </w:r>
          </w:p>
        </w:tc>
      </w:tr>
      <w:tr>
        <w:trPr/>
        <w:tc>
          <w:tcPr>
            <w:tcW w:w="6245"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S-17</w:t>
            </w:r>
          </w:p>
        </w:tc>
      </w:tr>
      <w:tr>
        <w:trPr/>
        <w:tc>
          <w:tcPr>
            <w:tcW w:w="6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S-18</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8840"/>
        <w:gridCol w:w="60"/>
        <w:gridCol w:w="530"/>
      </w:tblGrid>
      <w:tr>
        <w:trPr/>
        <w:tc>
          <w:tcPr>
            <w:tcW w:w="8840" w:type="dxa"/>
            <w:tcBorders/>
            <w:vAlign w:val="center"/>
          </w:tcPr>
          <w:p>
            <w:pPr>
              <w:pStyle w:val="TableContents"/>
              <w:bidi w:val="0"/>
              <w:spacing w:before="0" w:after="283"/>
              <w:jc w:val="left"/>
              <w:rPr>
                <w:caps/>
              </w:rPr>
            </w:pPr>
            <w:r>
              <w:rPr>
                <w:caps/>
              </w:rPr>
              <w:t> </w:t>
            </w:r>
          </w:p>
        </w:tc>
        <w:tc>
          <w:tcPr>
            <w:tcW w:w="6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8840" w:type="dxa"/>
            <w:tcBorders/>
            <w:shd w:fill="CCEEFF" w:val="clear"/>
            <w:vAlign w:val="center"/>
          </w:tcPr>
          <w:p>
            <w:pPr>
              <w:pStyle w:val="TableContents"/>
              <w:bidi w:val="0"/>
              <w:spacing w:before="0" w:after="283"/>
              <w:jc w:val="left"/>
              <w:rPr/>
            </w:pPr>
            <w:hyperlink w:anchor="b_001">
              <w:r>
                <w:rPr>
                  <w:rStyle w:val="InternetLink"/>
                  <w:caps/>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right"/>
              <w:rPr/>
            </w:pPr>
            <w:r>
              <w:rPr/>
              <w:t>ii</w:t>
            </w:r>
          </w:p>
        </w:tc>
      </w:tr>
      <w:tr>
        <w:trPr/>
        <w:tc>
          <w:tcPr>
            <w:tcW w:w="8840" w:type="dxa"/>
            <w:tcBorders/>
            <w:shd w:fill="FFFFFF" w:val="clear"/>
            <w:vAlign w:val="center"/>
          </w:tcPr>
          <w:p>
            <w:pPr>
              <w:pStyle w:val="TableContents"/>
              <w:bidi w:val="0"/>
              <w:spacing w:before="0" w:after="283"/>
              <w:jc w:val="left"/>
              <w:rPr/>
            </w:pPr>
            <w:hyperlink w:anchor="b_002">
              <w:r>
                <w:rPr>
                  <w:rStyle w:val="InternetLink"/>
                  <w:caps/>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right"/>
              <w:rPr/>
            </w:pPr>
            <w:r>
              <w:rPr/>
              <w:t>iii</w:t>
            </w:r>
          </w:p>
        </w:tc>
      </w:tr>
      <w:tr>
        <w:trPr/>
        <w:tc>
          <w:tcPr>
            <w:tcW w:w="8840" w:type="dxa"/>
            <w:tcBorders/>
            <w:shd w:fill="CCEEFF" w:val="clear"/>
            <w:vAlign w:val="center"/>
          </w:tcPr>
          <w:p>
            <w:pPr>
              <w:pStyle w:val="TableContents"/>
              <w:bidi w:val="0"/>
              <w:spacing w:before="0" w:after="283"/>
              <w:jc w:val="left"/>
              <w:rPr/>
            </w:pPr>
            <w:hyperlink w:anchor="b_003">
              <w:r>
                <w:rPr>
                  <w:rStyle w:val="InternetLink"/>
                  <w:caps/>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right"/>
              <w:rPr/>
            </w:pPr>
            <w:r>
              <w:rPr/>
              <w:t>1</w:t>
            </w:r>
          </w:p>
        </w:tc>
      </w:tr>
      <w:tr>
        <w:trPr/>
        <w:tc>
          <w:tcPr>
            <w:tcW w:w="8840" w:type="dxa"/>
            <w:tcBorders/>
            <w:shd w:fill="FFFFFF" w:val="clear"/>
            <w:vAlign w:val="center"/>
          </w:tcPr>
          <w:p>
            <w:pPr>
              <w:pStyle w:val="TableContents"/>
              <w:bidi w:val="0"/>
              <w:spacing w:before="0" w:after="283"/>
              <w:jc w:val="left"/>
              <w:rPr/>
            </w:pPr>
            <w:hyperlink w:anchor="b_004">
              <w:r>
                <w:rPr>
                  <w:rStyle w:val="InternetLink"/>
                  <w:caps/>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right"/>
              <w:rPr/>
            </w:pPr>
            <w:r>
              <w:rPr/>
              <w:t>8</w:t>
            </w:r>
          </w:p>
        </w:tc>
      </w:tr>
      <w:tr>
        <w:trPr/>
        <w:tc>
          <w:tcPr>
            <w:tcW w:w="8840" w:type="dxa"/>
            <w:tcBorders/>
            <w:shd w:fill="CCEEFF" w:val="clear"/>
            <w:vAlign w:val="center"/>
          </w:tcPr>
          <w:p>
            <w:pPr>
              <w:pStyle w:val="TableContents"/>
              <w:bidi w:val="0"/>
              <w:spacing w:before="0" w:after="283"/>
              <w:jc w:val="left"/>
              <w:rPr/>
            </w:pPr>
            <w:hyperlink w:anchor="b_005">
              <w:r>
                <w:rPr>
                  <w:rStyle w:val="InternetLink"/>
                  <w:caps/>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right"/>
              <w:rPr/>
            </w:pPr>
            <w:r>
              <w:rPr/>
              <w:t>9</w:t>
            </w:r>
          </w:p>
        </w:tc>
      </w:tr>
      <w:tr>
        <w:trPr/>
        <w:tc>
          <w:tcPr>
            <w:tcW w:w="8840" w:type="dxa"/>
            <w:tcBorders/>
            <w:shd w:fill="FFFFFF" w:val="clear"/>
            <w:vAlign w:val="center"/>
          </w:tcPr>
          <w:p>
            <w:pPr>
              <w:pStyle w:val="TableContents"/>
              <w:bidi w:val="0"/>
              <w:spacing w:before="0" w:after="283"/>
              <w:jc w:val="left"/>
              <w:rPr/>
            </w:pPr>
            <w:hyperlink w:anchor="b_006">
              <w:r>
                <w:rPr>
                  <w:rStyle w:val="InternetLink"/>
                  <w:caps/>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right"/>
              <w:rPr/>
            </w:pPr>
            <w:r>
              <w:rPr/>
              <w:t>10</w:t>
            </w:r>
          </w:p>
        </w:tc>
      </w:tr>
      <w:tr>
        <w:trPr/>
        <w:tc>
          <w:tcPr>
            <w:tcW w:w="8840" w:type="dxa"/>
            <w:tcBorders/>
            <w:shd w:fill="CCEEFF" w:val="clear"/>
            <w:vAlign w:val="center"/>
          </w:tcPr>
          <w:p>
            <w:pPr>
              <w:pStyle w:val="TableContents"/>
              <w:bidi w:val="0"/>
              <w:spacing w:before="0" w:after="283"/>
              <w:jc w:val="left"/>
              <w:rPr/>
            </w:pPr>
            <w:hyperlink w:anchor="b_007">
              <w:r>
                <w:rPr>
                  <w:rStyle w:val="InternetLink"/>
                  <w:caps/>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right"/>
              <w:rPr/>
            </w:pPr>
            <w:r>
              <w:rPr/>
              <w:t>14</w:t>
            </w:r>
          </w:p>
        </w:tc>
      </w:tr>
      <w:tr>
        <w:trPr/>
        <w:tc>
          <w:tcPr>
            <w:tcW w:w="8840" w:type="dxa"/>
            <w:tcBorders/>
            <w:shd w:fill="FFFFFF" w:val="clear"/>
            <w:vAlign w:val="center"/>
          </w:tcPr>
          <w:p>
            <w:pPr>
              <w:pStyle w:val="TableContents"/>
              <w:bidi w:val="0"/>
              <w:spacing w:before="0" w:after="283"/>
              <w:jc w:val="left"/>
              <w:rPr/>
            </w:pPr>
            <w:hyperlink w:anchor="b_008">
              <w:r>
                <w:rPr>
                  <w:rStyle w:val="InternetLink"/>
                  <w:caps/>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right"/>
              <w:rPr/>
            </w:pPr>
            <w:r>
              <w:rPr/>
              <w:t>21</w:t>
            </w:r>
          </w:p>
        </w:tc>
      </w:tr>
      <w:tr>
        <w:trPr/>
        <w:tc>
          <w:tcPr>
            <w:tcW w:w="8840" w:type="dxa"/>
            <w:tcBorders/>
            <w:shd w:fill="CCEEFF" w:val="clear"/>
            <w:vAlign w:val="center"/>
          </w:tcPr>
          <w:p>
            <w:pPr>
              <w:pStyle w:val="TableContents"/>
              <w:bidi w:val="0"/>
              <w:spacing w:before="0" w:after="283"/>
              <w:jc w:val="left"/>
              <w:rPr/>
            </w:pPr>
            <w:hyperlink w:anchor="b_009">
              <w:r>
                <w:rPr>
                  <w:rStyle w:val="InternetLink"/>
                  <w:caps/>
                </w:rPr>
                <w:t>Description of Subscription Rights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right"/>
              <w:rPr/>
            </w:pPr>
            <w:r>
              <w:rPr/>
              <w:t>23</w:t>
            </w:r>
          </w:p>
        </w:tc>
      </w:tr>
      <w:tr>
        <w:trPr/>
        <w:tc>
          <w:tcPr>
            <w:tcW w:w="8840" w:type="dxa"/>
            <w:tcBorders/>
            <w:shd w:fill="FFFFFF" w:val="clear"/>
            <w:vAlign w:val="center"/>
          </w:tcPr>
          <w:p>
            <w:pPr>
              <w:pStyle w:val="TableContents"/>
              <w:bidi w:val="0"/>
              <w:spacing w:before="0" w:after="283"/>
              <w:jc w:val="left"/>
              <w:rPr/>
            </w:pPr>
            <w:hyperlink w:anchor="b_010">
              <w:r>
                <w:rPr>
                  <w:rStyle w:val="InternetLink"/>
                  <w:caps/>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right"/>
              <w:rPr/>
            </w:pPr>
            <w:r>
              <w:rPr/>
              <w:t>25</w:t>
            </w:r>
          </w:p>
        </w:tc>
      </w:tr>
      <w:tr>
        <w:trPr/>
        <w:tc>
          <w:tcPr>
            <w:tcW w:w="8840" w:type="dxa"/>
            <w:tcBorders/>
            <w:shd w:fill="CCEEFF" w:val="clear"/>
            <w:vAlign w:val="center"/>
          </w:tcPr>
          <w:p>
            <w:pPr>
              <w:pStyle w:val="TableContents"/>
              <w:bidi w:val="0"/>
              <w:spacing w:before="0" w:after="283"/>
              <w:jc w:val="left"/>
              <w:rPr/>
            </w:pPr>
            <w:hyperlink w:anchor="b_011">
              <w:r>
                <w:rPr>
                  <w:rStyle w:val="InternetLink"/>
                  <w:caps/>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right"/>
              <w:rPr/>
            </w:pPr>
            <w:r>
              <w:rPr/>
              <w:t>26</w:t>
            </w:r>
          </w:p>
        </w:tc>
      </w:tr>
      <w:tr>
        <w:trPr/>
        <w:tc>
          <w:tcPr>
            <w:tcW w:w="8840" w:type="dxa"/>
            <w:tcBorders/>
            <w:shd w:fill="FFFFFF" w:val="clear"/>
            <w:vAlign w:val="center"/>
          </w:tcPr>
          <w:p>
            <w:pPr>
              <w:pStyle w:val="TableContents"/>
              <w:bidi w:val="0"/>
              <w:spacing w:before="0" w:after="283"/>
              <w:jc w:val="left"/>
              <w:rPr/>
            </w:pPr>
            <w:hyperlink w:anchor="b_012">
              <w:r>
                <w:rPr>
                  <w:rStyle w:val="InternetLink"/>
                  <w:caps/>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right"/>
              <w:rPr/>
            </w:pPr>
            <w:r>
              <w:rPr/>
              <w:t>29</w:t>
            </w:r>
          </w:p>
        </w:tc>
      </w:tr>
      <w:tr>
        <w:trPr/>
        <w:tc>
          <w:tcPr>
            <w:tcW w:w="8840" w:type="dxa"/>
            <w:tcBorders/>
            <w:shd w:fill="CCEEFF" w:val="clear"/>
            <w:vAlign w:val="center"/>
          </w:tcPr>
          <w:p>
            <w:pPr>
              <w:pStyle w:val="TableContents"/>
              <w:bidi w:val="0"/>
              <w:spacing w:before="0" w:after="283"/>
              <w:jc w:val="left"/>
              <w:rPr/>
            </w:pPr>
            <w:hyperlink w:anchor="b_013">
              <w:r>
                <w:rPr>
                  <w:rStyle w:val="InternetLink"/>
                  <w:caps/>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right"/>
              <w:rPr/>
            </w:pPr>
            <w:r>
              <w:rPr/>
              <w:t>29</w:t>
            </w:r>
          </w:p>
        </w:tc>
      </w:tr>
      <w:tr>
        <w:trPr/>
        <w:tc>
          <w:tcPr>
            <w:tcW w:w="8840" w:type="dxa"/>
            <w:tcBorders/>
            <w:shd w:fill="FFFFFF" w:val="clear"/>
            <w:vAlign w:val="center"/>
          </w:tcPr>
          <w:p>
            <w:pPr>
              <w:pStyle w:val="TableContents"/>
              <w:bidi w:val="0"/>
              <w:spacing w:before="0" w:after="283"/>
              <w:jc w:val="left"/>
              <w:rPr/>
            </w:pPr>
            <w:hyperlink w:anchor="b_014">
              <w:r>
                <w:rPr>
                  <w:rStyle w:val="InternetLink"/>
                  <w:caps/>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right"/>
              <w:rPr/>
            </w:pPr>
            <w:r>
              <w:rPr/>
              <w:t>29</w:t>
            </w:r>
          </w:p>
        </w:tc>
      </w:tr>
      <w:tr>
        <w:trPr/>
        <w:tc>
          <w:tcPr>
            <w:tcW w:w="8840" w:type="dxa"/>
            <w:tcBorders/>
            <w:shd w:fill="CCEEFF" w:val="clear"/>
            <w:vAlign w:val="center"/>
          </w:tcPr>
          <w:p>
            <w:pPr>
              <w:pStyle w:val="TableContents"/>
              <w:bidi w:val="0"/>
              <w:spacing w:before="0" w:after="283"/>
              <w:jc w:val="left"/>
              <w:rPr/>
            </w:pPr>
            <w:hyperlink w:anchor="b_015">
              <w:r>
                <w:rPr>
                  <w:rStyle w:val="InternetLink"/>
                  <w:caps/>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30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two parts. The first part is the prospectus supplement, which describes the specific terms of this offering and also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This prospectus supplement and the accompanying prospectus are part of a “shelf” registration statement on Form S-3, as amended (File No. 333-295667) that we initially filed with the SEC, on May 7, 2026, as amended on June 12, 2026, and that was declared effective by the Securities and Exchange Commission (the “SEC”) on June 25,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supplement, on the one hand, and the information contained in the accompanying prospectus or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appearing in this prospectus supplement and the accompanying prospectus and the documents incorporated by reference into this prospectus supplement and the accompanying prospectus is accurate only as of the date of those respective documents. Our business, financial condition, results of operations and prospects may have changed since those dates. You should read this prospectus supplement and the accompanying prospectus, as well as the documents incorporated by reference into this prospectus supplement and the accompanying prospectus in their entirety before making an investment decision. You should also read and consider the information in the sections of this prospectus supplement entitled “Where You Can Find Additional Information” and “Incorporation of Documents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Wainwright has not, authorized any other person to provide you with information that is in addition to or different from the information included or incorporated by reference into this prospectus supplement. We are not, and Wainwright is not, offering to sell, and seeking offers to buy, shares of common stock in jurisdictions where offers and sales are not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our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contain, or incorporate by reference, trademarks, tradenames, service marks and service names of KALA BIO, Inc. and its subsidiaries. This prospectus supplement and the accompanying prospectus and the documents incorporated by reference into this prospectus supplement and the accompanying prospectus may also contain trademarks and trade names that are the property of their respective owners.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each contain forward-looking statements within the meaning of the Private Securities Litigation Reform Act of 1995. We intend such forward-looking statements to be covered by the safe harbor provisions for forward-looking statements contained in Section 27A of the Securities Act and Section 21E of the Exchange Act. All statements contained in this prospectus supplement, the accompanying prospectus and the documents incorporated by reference herein and therein other than statements of historical fact, including statements regarding our future operating results and financial position, our business strategy and plans, market growth, and our objectives for future operations, are forward-looking statements. The words such as “believe,” “may,” “will,” “estimate,” “potential,” “continue,” “anticipate,” “intend,” “expect,” “could,” “would,” “project,” “plan,” “target,” and similar expressions are intended to identify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prospectus supplement, the accompanying prospectus and the documents incorporated by reference herein include, but are not limited to, statements about:</w:t>
      </w:r>
    </w:p>
    <w:p>
      <w:pPr>
        <w:pStyle w:val="TextBody"/>
        <w:bidi w:val="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expectations regarding our pursuit of strategic options;</w:t>
            </w:r>
          </w:p>
        </w:tc>
      </w:tr>
    </w:tbl>
    <w:p>
      <w:pPr>
        <w:pStyle w:val="TextBody"/>
        <w:bidi w:val="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financing;</w:t>
            </w:r>
          </w:p>
        </w:tc>
      </w:tr>
    </w:tbl>
    <w:p>
      <w:pPr>
        <w:pStyle w:val="TextBody"/>
        <w:bidi w:val="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monetize our assets;</w:t>
            </w:r>
          </w:p>
        </w:tc>
      </w:tr>
    </w:tbl>
    <w:p>
      <w:pPr>
        <w:pStyle w:val="TextBody"/>
        <w:bidi w:val="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tc>
      </w:tr>
    </w:tbl>
    <w:p>
      <w:pPr>
        <w:pStyle w:val="TextBody"/>
        <w:bidi w:val="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regain and maintain compliance with the Nasdaq listing standards;</w:t>
            </w:r>
          </w:p>
        </w:tc>
      </w:tr>
    </w:tbl>
    <w:p>
      <w:pPr>
        <w:pStyle w:val="TextBody"/>
        <w:bidi w:val="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our remaining employees, consultants, advisors;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resume research and development activities for our MSC-S platform if we were to execute a strategic transaction or obtain significant additional funding, and our ability to develop and commercialize the Researgency agentic AI research platform;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resume research and development activities, development efforts for KPI-012 and KPI-014 for potential ocular diseases;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additional products, product candidates or technologies with significant commercial potential that are consistent with our commercial objectives;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goals with respect to the AI platform business and the deployment of the Researgency agentic AI research platform, including the development of commercial arrangements with customers in the biotechnology and pharmaceutical industries;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resume research and development activities, the rate and degree of market acceptance and clinical utility of our product candidates and our estimates regarding the market opportunity for our product candidates, if approved;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fund our operating expenses, lease and capital expenditure requirements with our cash on hand;</w:t>
            </w:r>
          </w:p>
        </w:tc>
      </w:tr>
    </w:tbl>
    <w:p>
      <w:pPr>
        <w:pStyle w:val="TextBody"/>
        <w:bidi w:val="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 timing of any future revenue, capital requirements and needs for additional financing;</w:t>
            </w:r>
          </w:p>
        </w:tc>
      </w:tr>
    </w:tbl>
    <w:p>
      <w:pPr>
        <w:pStyle w:val="TextBody"/>
        <w:bidi w:val="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w:t>
            </w:r>
          </w:p>
        </w:tc>
      </w:tr>
    </w:tbl>
    <w:p>
      <w:pPr>
        <w:pStyle w:val="TextBody"/>
        <w:bidi w:val="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p>
      <w:pPr>
        <w:pStyle w:val="TextBody"/>
        <w:bidi w:val="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business relationships; and</w:t>
            </w:r>
          </w:p>
        </w:tc>
      </w:tr>
    </w:tbl>
    <w:p>
      <w:pPr>
        <w:pStyle w:val="TextBody"/>
        <w:bidi w:val="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economic and geopolitical developments on our business, operations, strategy and goals.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factors that could cause actual results to differ materially from those stated, including those described in “Risk Factors” in our Annual Report on Form 10-K for the year ended December 31, 2025, and our subsequent Quarterly Reports on Form 10-Q, which are incorporated by reference herein, as such factors may be updated in our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supplement and the documents incorporated by reference herein may not occur and actual results could differ materially and adversely from those anticipated or implied in the forward-looking statements.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made, and we undertake no obligation to update any of these forward-looking statements for any reason after such date or to conform these statements to actual results or revised expectations, except as required by applicable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4" w:name="a_003"/>
      <w:bookmarkEnd w:id="4"/>
      <w:r>
        <w:rPr>
          <w:rFonts w:ascii="Times New Roman;Times;Serif" w:hAnsi="Times New Roman;Times;Serif"/>
          <w:b/>
          <w:i w:val="false"/>
          <w:caps w:val="false"/>
          <w:smallCaps w:val="false"/>
          <w:sz w:val="20"/>
          <w:bdr w:val="single" w:sz="8" w:space="5" w:color="000000"/>
        </w:rPr>
        <w:t>PROSPECTUS SUPPLEMENT SUMMARY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highlights selected information contained elsewhere in this prospectus supplement. This summary does not contain all the information that you should consider before investing in our Company. You should carefully read this entire prospectus supplement and the accompanying prospectus, including all documents incorporated by reference herein and therein. In particular, attention should be directed to our “Risk Factors,” “Management’s Discussion and Analysis of Financial Condition and Results of Operations” and the financial statements and related notes thereto contained herein or otherwise incorporated by reference hereto, before making an investment decision.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biopharmaceutical company in transition, evaluating the development of a dedicated, on-premises artificial intelligence (AI) infrastructure platform for the biotechnology industry. Our current focus is leveraging our mesenchymal stem cell secretome (“MSC-S”) platform to test the development of a scalable AI platform-as-a-service business to deploy secure, purpose-built AI systems directly within biotech and pharmaceutical client environments. We have historically been engaged in the research, development and commercialization of innovative therapies for rare and severe diseases of the front and back of the eye. Our lead product candidate was KPI-012, MSC-S, which we acquired from Combangio, Inc.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(“FDA”), which was accepted in December 2022. In February 2023, we dosed our first patient in the United States in our CHASE (Corneal Healing After SEcretome therapy) Phase 2b clinical trial of KPI-012 for PCED (the “CHASE trial”). By September 2025, the CHASE trial did not meet its primary endpoints, and we determined to discontinue our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in the process of evaluating and transitioning from historical biologics research and development (R&amp;D) activities to an “AI platform-as-a-service” model intended to provide dedicated, on-premises artificial intelligence infrastructure solutions to biotechnology and pharmaceutical customers. Following the discontinuation of the CHASE Phase 2b clinical trial of KPI-012 in September 2025 and the subsequent resolution of our obligations to Oxford Finance, our current operating focus is (i) the monetization or out-licensing of remaining biologics-related assets and (ii) development and commercialization planning for our licensed Researgency agentic AI platform (the “Researgency Platform”). This transition is expected to impact our operating expenses, capital requirements, and sources and uses of cash as described further below.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refocused our business on two complementary strategic priorities. First, we are preserving and seeking to maximize the value of our MSC-S biologics asset portfolio, including the KPI-012 and KPI-014 product candidates and related intellectual property, through potential licensing, collaboration, and other strategic arrangements with third parties, as well as through evaluation of opportunities to resume preclinical development activities subject to the availability of additional capital. Second, we are building our Researgency business through our exclusive license for the Researgency Platform, which we intend to deploy as a dedicated, on-premises AI infrastructure solution for biotechnology and pharmaceutical companies. We believe this dual-track strategy preserves and creates optionality with respect to our biologics assets while simultaneously pursuing a potential business opportunity in the rapidly growing AI platform market for the biotechnology industry.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3, 2026, we entered into an exclusive license for the Researgency AI research platform (“Researgency”) from Younet AI (“Younet”), through which we intend to test and assess the feasibility of offering a dedicated AI infrastructure partner for the biotechnology industry. Our goal is to enable companies of all sizes to unlock the value of their proprietary biological data without surrendering control of it through the development of a specialized agentic AI research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Suspension of Clinical Trial</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September 28, 2025, the board of directors of the Company (the “Board”) determined to cease development of KPI-012 and the MSC-S platform because the CHASE trial did not meet the primary endpoint of complete healing of PCED as measured by corneal fluorescein staining. The CHASE trial also failed to achieve statistical significance for key secondary efficacy endpoints, with no meaningful difference observed between either KPI-012 treatment arm and the placebo arm. In connection with such decision, we implemented a reduction in our workforce of approximately 19 employees, or approximately 51%.</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Younet AI Licensing Agreement and the Researgency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Following the decision to suspend the CHASE trial, and as part of our strategic transition, on March 3, 2026, we entered into an exclusive licensing agreement with Younet (the “Younet License Agreement”), pursuant to which we secured worldwide exclusive rights to Researgency, specifically adapted for biotechnology applications. Under our license for Researgency, we plan to evaluate whether the platform can be configured to support biotechnology research workflows and data-governance requirements. Specific technical configurations and commercialization plans, including pricing and service levels, remain under development and subject to customer requirements and applicable laws and guidance.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strategy is to pursue two complementary business lines: (i) the monetization of a proprietary biologics asset portfolio centered on the Company’s MSC-S platform and its associated IP, and (ii) the development of the Researgency business, or similar businesses, through which the Company intends to deploy Researgency, or other technology partnerships, agreements and strategic initiatives to provide a dedicated, on-premises AI infrastructure solution for biotechnology and pharmaceutical companies, and industries requiring or benefiting from data sovereignty. Key elements of our current strategy include: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Preserve and seek to monetize our MSC-S biologics asset portfolio, where possible. We are preserving our MSC-S platform intellectual property, including the KPI-012 and KPI-014 product candidates and related patents and know-how, and are evaluating strategic options with respect to those assets, including licensing, sale, out-licensing, collaboration, and other arrangements with one or more third parties. We may evaluate preclinical activities in the future if we secure additional funding and identify suitable development partners. We do not have any ongoing clinical trials as of the date of this filing.</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aim to deploy Researgency as a dedicated biotechnology industry solution. Through our exclusive license for Researgency, we intend to serve as a dedicated AI infrastructure partner for biotechnology and pharmaceutical companies. Researgency is designed for on-premises deployment within client environments, enabling customers to leverage advanced AI capabilities while maintaining complete control over their proprietary biological data and intellectual property. We also intend to offer the platform on a platform-as-a-service basis, together with implementation support, maintenance subscriptions, and data analytics services, targeting mid-size biotechnology companies, contract research organizations, and pharmaceutical companies as our primary customer base. Any commercialization, pricing and feature set remain subject to further development, validation, applicable regulatory compliance and customer demand.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Researgency using our proprietary KPI-012 research dataset. As an initial step toward potential commercialization of Researgency, we intend to use our accumulated KPI-012 clinical development dataset, which includes data from 79 patients across 37 clinical trial sites together with related regulatory submission materials, as a proof-of-concept validation environment. This self-validation approach is designed to generate reference case studies and to refine platform capabilities using real-world biotechnology research data prior to commercial deployment with external customers. There can be no assurance that these efforts will identify commercially actionable opportunities.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strategic arrangements across both business lines. We plan to pursue value-driven strategic transactions across both our biologics portfolio and our Researgency business, which may include licensing.</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Strategic Growth and Acquisition Initiatives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part of our forward corporate development strategy, we are actively evaluating, and from time to time engaging in preliminary discussions regarding, potential acquisitions, investments, joint ventures and other strategic transactions that we believe may be accretive to our business and synergistic with our data-sovereign biomedical and computing initiatives, including the acquisition or development of artificial intelligence data center infrastructure intended to serve this vertical. Having devoted substantial time and resources to administrative matters and to establishing an operational, governance and capital markets foundation for the Company, we believe we are now positioned to pursue growth-oriented transactions consistent with this strategy. In addition, we are exploring a range of opportunities involving companies operating at the intersection of space technology and biotechnology, blockchain-based data and asset management, and the tokenization of assets, with potential applications in biotechnology, intellectual property and other sectors. We have not entered into any definitive agreement, and are not currently a party to any binding commitment, with respect to any such transaction, and there can be no assurance that any of these discussions will result in a completed transaction or that any completed transaction will achieve its anticipated benefits. Any such transaction may be funded in whole or in part with the net proceeds from this offering, cash on hand, the issuance of additional equity, equity-linked or debt securities, or a combination of the foregoing.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Reverse Stock Split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7, 2026, we filed a Certificate of Amendment (the “Certificate of Amendment”) to the Company’s Restated Certificate of Incorporation (as amended, the “Certificate of Incorporation”) with the Secretary of State of Delaware to effect a 1-for-50 reverse stock split of the shares of our common stock, either issued and outstanding or held by the Company as treasury stock (the “Reverse Stock Split”), effective as of 4:05 p.m. (Delaware time) on May 8, 2026 (the “Effective Time”). As previously reported, the Company held a special meeting of stockholders on January 30, 2026 (the “Special Meeting”), at which Special Meeting the Company’s stockholders approved the Certificate of Amendment to effect a reverse stock split of our common stock at a ratio in the range of 1-for-2 to 1-for-100, with such ratio to be determined by our Board of Directors (the “Board”) and included in a public announcement. The Board determined to effect the Reverse Stock Split at a ratio of 1-for-50 and approved the corresponding final form of the Certificate of Amendment.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a result of the Reverse Stock Split, every 50 shares of issued and outstanding common stock at 4:05 p.m. (Delaware Time) on May 8, 2026, was automatically combined into one issued and outstanding share of common stock, without any change in the par value per share. No fractional shares were issued as a result of the Reverse Stock Split. Stockholders that would hold fractional shares as a result of the Reverse Stock Split were entitled to receive a cash payment in lieu of said fractional shares based on the closing price on the Nasdaq Capital Market on May 7, 2026. The Reverse Stock Split reduced the number of shares of Common Stock outstanding from 929,491,578 shares to 18,589,824 shares. The number of authorized shares of Common Stock under the Certificate of Incorporation remained unchanged at 1,500,000,000 shares.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Common Stock began trading on a Reverse Stock Split-adjusted basis on the Nasdaq Capital Market on May 11, 2026. The trading symbol for the Common Stock remained “KALA.”</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in this prospectus supplement relating to our common stock, including share counts, per share amounts, exercise prices and share reserves, is presented on a pre–Reverse Stock Split basis and has not been adjusted to reflect the Reverse Stock Split. Subsequent SEC filings after the Effective Time may reflect post–Reverse Stock Split amounts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Unaudited Financial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impact of the Reverse Stock Split included herein has been prepared, without audit, pursuant to the rules and regulations of the SEC. Accordingly, this information should be read in conjunction with the financial statements and notes thereto included in the Company’s Annual Report on Form 10-K for the fiscal year ended December 31, 2025 (the “Annual Report”).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unaudited information includes the accounts of KALA BIO, Inc. and its wholly owned subsidiaries, Kala Pharmaceuticals Security Corporation and Combangio, Inc. (“Combangio”). All intercompany transactions and balances have been eliminated in consolidation.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Summary of Relevant Reverse Stock Split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a result of the Reverse Stock Split, every 50 shares of issued and outstanding common stock was combined into one issued and outstanding share of common stock, without any change in the par value per share. Below is the historical impact on the Loss Per-Share for the years ended December 31, 2025 and 2024. As a result of the Reverse Stock Split, the number of common shares outstanding as of December 31, 2024, December 31, 2025 and July 17, 2026 were 121,824, 556,995 and 19,339,786 respectively.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Basic and diluted net loss per share attributable to common stockholders was calculated as follows for the years ended December 31, 2025 and 2024:</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7850" w:type="dxa"/>
        <w:jc w:val="left"/>
        <w:tblInd w:w="0" w:type="dxa"/>
        <w:tblLayout w:type="fixed"/>
        <w:tblCellMar>
          <w:top w:w="0" w:type="dxa"/>
          <w:left w:w="0" w:type="dxa"/>
          <w:bottom w:w="0" w:type="dxa"/>
          <w:right w:w="0" w:type="dxa"/>
        </w:tblCellMar>
      </w:tblPr>
      <w:tblGrid>
        <w:gridCol w:w="5960"/>
        <w:gridCol w:w="60"/>
        <w:gridCol w:w="125"/>
        <w:gridCol w:w="695"/>
        <w:gridCol w:w="80"/>
        <w:gridCol w:w="60"/>
        <w:gridCol w:w="125"/>
        <w:gridCol w:w="650"/>
        <w:gridCol w:w="95"/>
      </w:tblGrid>
      <w:tr>
        <w:trPr/>
        <w:tc>
          <w:tcPr>
            <w:tcW w:w="5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(38,511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basic and diluted</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75,921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weighted-average common shares outstanding, basic and diluted are vested but deferred shares for which all contingencies have been satisfied. Number of shares, and per share information have been retroactively adjusted to reflect the impact of the Reverse Stock Split.</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following potential common stock equivalents were excluded from the calculation of diluted net loss per share attributable to common stockholders for the periods indicated because including them would have had an anti-dilutive effect. The share amounts presented below represent the average of the number of incremental shares included in each quarterly calculation:</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6645" w:type="dxa"/>
        <w:jc w:val="left"/>
        <w:tblInd w:w="0" w:type="dxa"/>
        <w:tblLayout w:type="fixed"/>
        <w:tblCellMar>
          <w:top w:w="0" w:type="dxa"/>
          <w:left w:w="0" w:type="dxa"/>
          <w:bottom w:w="0" w:type="dxa"/>
          <w:right w:w="0" w:type="dxa"/>
        </w:tblCellMar>
      </w:tblPr>
      <w:tblGrid>
        <w:gridCol w:w="4880"/>
        <w:gridCol w:w="60"/>
        <w:gridCol w:w="60"/>
        <w:gridCol w:w="695"/>
        <w:gridCol w:w="60"/>
        <w:gridCol w:w="60"/>
        <w:gridCol w:w="60"/>
        <w:gridCol w:w="695"/>
        <w:gridCol w:w="75"/>
      </w:tblGrid>
      <w:tr>
        <w:trPr/>
        <w:tc>
          <w:tcPr>
            <w:tcW w:w="4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to purchase shares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12,438</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Unexercised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preferred stock (as converted to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368,660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145,883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 Smaller Reporting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smaller reporting company as defined in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under the laws of the State of Delaware in July 2009. On August 2, 2023, we changed our name from Kala Pharmaceuticals, Inc. to KALA BIO, Inc. Our principal executive offices are located at 1167 Massachusetts Avenue, Arlington, MA 02476, and our telephone number is (781) 996-5252. Our website address is www.kalarx.com. Information contained on, or that can be accessed through, our website is not and shall not be deemed to be a part of this prospectus supplement or incorporated by reference hereto. Through our website, we will make available, free of charge, our Annual Report on Form 10-K, Quarterly Reports on Form 10-Q, Current Reports on Form 8-K and any amendments to these reports, as soon as reasonably practicable after such material is electronically filed with, or furnished to, the SEC.</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sz w:val="20"/>
          <w:bdr w:val="single" w:sz="8" w:space="5" w:color="000000"/>
        </w:rPr>
      </w:pPr>
      <w:r>
        <w:rPr>
          <w:rFonts w:ascii="Times New Roman;Times;Serif" w:hAnsi="Times New Roman;Times;Serif"/>
          <w:b/>
          <w:i w:val="false"/>
          <w:caps/>
          <w:sz w:val="20"/>
          <w:bdr w:val="single" w:sz="8" w:space="5" w:color="000000"/>
        </w:rPr>
        <w:t>The Offering</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605"/>
        <w:gridCol w:w="60"/>
        <w:gridCol w:w="8540"/>
      </w:tblGrid>
      <w:tr>
        <w:trPr/>
        <w:tc>
          <w:tcPr>
            <w:tcW w:w="1605"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having an aggregate offering price of up to $250,000,000 (or 337,837,838 shares at an assumed offering price of $0.78 per share, which was the last reported sale price of our common stock on Nasdaq on July 17, 2026).</w:t>
            </w:r>
          </w:p>
        </w:tc>
      </w:tr>
      <w:tr>
        <w:trPr/>
        <w:tc>
          <w:tcPr>
            <w:tcW w:w="1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to be outstanding immediately after this offering</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357,177,624 shares, assuming sales of 337,837,838 shares in this offering at an assumed offering price of $0.78 per share, which was the last reported sale price of our common stock on Nasdaq on July 17, 2026. The actual number of shares issued will vary depending on how many shares of our common stock we choose to sell and the prices at which such sales occur.</w:t>
            </w:r>
          </w:p>
        </w:tc>
      </w:tr>
      <w:tr>
        <w:trPr/>
        <w:tc>
          <w:tcPr>
            <w:tcW w:w="1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and the accompanying prospectus may be made by any method permitted by law deemed to be an “at-the-market” offering as defined in Rule 415 of the Securities Act, including without limitation sales made directly on Nasdaq, on any other existing trading market for the common stock in the United States. The sales agent is not required to sell any certain number of shares or dollar amount of our common stock, but will act as a sales agent and use commercially reasonable efforts to sell on our behalf all of the shares of common stock requested to be sold by us, consistent with its normal trading and sales practices, subject to the terms of the Sales Agreement. See section titled “Plan of Distribution” on page S-15 of this prospectus supplement.</w:t>
            </w:r>
          </w:p>
        </w:tc>
      </w:tr>
      <w:tr>
        <w:trPr/>
        <w:tc>
          <w:tcPr>
            <w:tcW w:w="1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the net proceeds, if any, general corporate purposes, including working capital. See “Use of Proceeds” on page S-13.</w:t>
            </w:r>
          </w:p>
        </w:tc>
      </w:tr>
      <w:tr>
        <w:trPr/>
        <w:tc>
          <w:tcPr>
            <w:tcW w:w="1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investment involves a high degree of risk. You should read the description of risks set forth under “Risk Factors” beginning on page S-10 of this prospectus supplement, page 8 of the accompanying prospectus and under similar headings in the documents incorporated by reference herein and therein for a discussion of factors to consider before deciding to purchase our securities.</w:t>
            </w:r>
          </w:p>
        </w:tc>
      </w:tr>
      <w:tr>
        <w:trPr/>
        <w:tc>
          <w:tcPr>
            <w:tcW w:w="1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KALA”</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immediately after this offering is based on 19,339,786 shares outstanding as of July 17, 2026, and excludes as of such date:</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to purchase up to an aggregate of 6 shares of common stock at a weighted average exercise price of $413.50 per share.</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in this prospectus supplement assumes no exercise or conversion of the outstanding securities described above.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a high degree of risk. Before deciding whether to invest in our common stock, you should consider carefully the risks and uncertainties described below. You should also consider the risks, uncertainties and assumptions discussed under the heading “Risk Factors” in our Annual Report on Form 10-K for the fiscal year ended December 31, 2025, that is incorporated by reference in this prospectus supplement, along with any amendment or update thereto reflected in subsequent filings with the SEC, including in our future annual reports on Form 10-K and quarterly reports on Form 10-Q, and all other information contained or incorporated by reference in this prospectus supplement, as updated by our subsequent filings under the Securities and Exchange Act of 1934, as amended (the “Exchange Act”).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Ownership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We must satisfy Nasdaq’s continued listing requirements, including, among other things, a minimum closing bid price of $1.00 per share and either a minimum stockholders’ equity of $2,500,000, or a minimum market value of our common stock of at least $35,000,000, or risk delisting, which would have a material adverse effect on our business. On January 20, 2026, we received a letter from the Listing Qualifications Department of the Nasdaq Stock Market indicating that, based upon the closing bid price of our common stock for the 30 consecutive business days between December 3, 2025, to January 16, 2026, we did not meet the minimum bid price of $1.00 per share required for continued listing on Nasdaq pursuant to Nasdaq Listing Rule 5550(a)(2) (the “Minimum Bid Price Requirement”). The letter also indicated that the Company will be provided with a compliance period of 180 calendar days, or until July 20, 2026 (the “Bid Price Compliance Period”), in which to regain compliance pursuant to Nasdaq Listing Rule 5810(c)(3)(A). On June 11, 2026, Nasdaq notified us that we had regained compliance with the Minimum Bid Price Requirement after the closing bid price of our Common Stock had been at or greater than $1.00 per share for the last 10 consecutive business days, from May 28, 2026, to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recently traded below $1.00 per share. If our stock price does not meet the Nasdaq requirement or if we do not meet any other Nasdaq requirements, our securities may become subject to delisting. A delisting of our common stock from Nasdaq could materially reduce the liquidity of our common stock and result in a corresponding material reduction in the price of our common stock. In addition, delisting could harm our ability to pursue a strategic option and raise capital through alternative financing sources on terms acceptable to us, or at all. In addition, any potential delisting of our common stock from Nasdaq would also make it more difficult for our stockholders to sell their shares in the public market. Moreover, any delisting of our common stock from Nasdaq or a transfer of the listing of our common stock to another nationally recognized stock exchange having listing standards that are less restrictive than Nasdaq, in each case after a specified cure period, are additional events of default under certain of our indebtedness.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regain compliance with the Nasdaq markets listing requirements.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our existing cash and may not use them effectively.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terms of our existing indebtedness, our management will have broad discretion in the application of the net proceeds from this offering, including for any of the purposes described in the section entitled “Use of Proceeds,” as well as our existing cash and cash equivalents, and you will be relying on the judgment of our management regarding such application.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Investors may experience a decline in the value of the shares they purchase in this offering as a result of sales made at prices lower than the prices they paid.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identify or complete future growth initiatives or acquisitions, and any such initiatives may not achieve their intended benefits.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a portion of the net proceeds from this offering to pursue potential acquisitions, investments, joint ventures and other strategic transactions that we believe may be accretive to our business and synergistic with our data-sovereign biomedical and computing initiatives, including the acquisition or development of artificial intelligence data center infrastructure intended to serve this vertical. We may be unable to identify suitable opportunities on favorable terms, or at all. Even if we complete such transactions or undertake such initiatives, they may not enhance our business, financial condition or results of operations. Growth initiatives may require significant management attention, involve substantial costs, result in integration challenges, dilute existing stockholders, incur indebtedness or otherwise expose us to operational, financial and regulatory risks. If we are unsuccessful in executing our growth strategy or if our growth initiatives fail to generate the anticipated benefits, our business, financial condition and results of operations could be materially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aggregate proceeds resulting from sales made under the Sales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Wainwright at any time throughout the term of the Sales Agreement. The number of shares that are sold through Wainwright after delivering a placement notice will fluctuate based on a number of factors, including the market price of our common stock during the sales period, the limits we set with Wainwright in any applicable placement notice, and the demand for our common stock during the sales period. Because the price per share of each share sold will fluctuate during the sales period, it is not currently possible to predict the aggregate proceeds to be raised in connection with those sales.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future sales of our securities or other dilution of our equity, which may adversely affect the market price of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with the proceeds from this offering, we expect we will need to raise additional capital, potentially shortly after this offering. In order to raise additional capital in the future, we may offer additional shares of our common stock or other securities convertible into or exchangeable for our common stock. We are generally not restricted from issuing additional securities, including shares of common stock, securities that are convertible into or exchangeable for, or that represent the right to receive, common stock or substantially similar securities. The issuance of securities in future offerings may cause further dilution to our stockholders, including investors in this offering.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in this offering. You will also incur dilution upon exercise of any outstanding stock options, warrants or upon the issuance of shares of common stock under our stock incentive programs. In addition, the sale of shares of common stock in this offering and any future sales of a substantial number of shares of common stock in the public market, or the perception that such sales may occur, could adversely affect the price of our common stock. We cannot predict the effect, if any, that market sales of those shares of common stock or the availability of those shares for sale will have on the market price of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Resales of our common stock in the public market during this offering by our stockholders may cause the market price of our common stock to fall.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could occur at any time. The issuance of new shares of our common stock could result in resales of our common stock by our current stockholders concerned about the potential ownership dilution of their holdings. In turn, these resales could have the effect of depressing the market price for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stock split and as of June 30, 2026, minimal shares of common stock that are either subject to outstanding warrants, stock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also decline.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declared or paid any cash dividends on our common stock and, accordingly, stockholders must rely on stock appreciation for any return on their investment.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intend to pay any cash dividends on our common stock. Any future debt agreements that we may enter into may preclude us from paying dividends without the lenders’ consent or at all. As a result, capital appreciation, if any, of our common stock will be your sole source of gain for the foreseeable future.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common stock having aggregate sales proceeds of up to $250,000,000 from time to time, before deducting sales commissions and estimated offering expenses payable by us. The amount of proceeds from this offering will depend upon the number of shares of our common stock sold, if any, and the market price at which they are sold. Because there is no minimum offering amount required as a condition of this offering, the actual total public offering amount, the sales commissions and proceeds to us, if any, are not determinable at this time. There can be no assurance that we will be able to sell any shares under or fully utilize the Sales Agreement with Wainwright.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for general corporate purposes, including working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use of the net proceeds from this offering represents our intentions based upon our current plans and business conditions, which could change in the future as our plans and business conditions evolve. As of the date of this prospectus supplement, we cannot specify with certainty all of the particular uses for the net proceeds from this offering. The amounts and timing of our actual expenditures will depend on numerous factors, including those described under “Risk Factors” in this prospectus supplement, the accompanying prospectus and the documents incorporated by reference herein and therein. 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DIVIDEND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capital stock. We currently intend to retain any future earnings for use in the operation of our business and do not intend to declare or pay any cash dividends in the foreseeable future. Any future debt agreements that we may enter into may preclude us from paying dividends without the lenders’ consent or at all. As a result, capital appreciation, if any, of our common stock will be your sole source of gain for the foreseeable future.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Wainwright, under which we may offer and sell our common stock having an aggregate offering price of up to $250,000,000 from time to time through Wainwright, acting as sales agent or principal.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to Wainwright and subject to the terms and conditions of the Sales Agreement, Wainwright may offer and sell our common stock by any method permitted by law deemed to be an “at the market offering,” as defined in Rule 415(a)(4) promulgated under the Securities Act, including sales made directly on or through Nasdaq, any other existing trading market of our common stock, sales made to or through a market maker other than on an exchange or otherwise, directly to Wainwright, in negotiated transactions at market prices prevailing at the time of sale or at prices related to such prevailing market prices, and/or in any other method permitted by law. We may instruct Wainwright not to sell our common stock if the sales cannot be effected at or above the price designated by us from time to time. We or Wainwright may suspend the offering of our common stock upon notice and subject to other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Wainwright a commission of 3.0% of the aggregate gross proceeds from each sale of our common stock sold pursuant to the Sales Agreement. Because there is no minimum offering amount required as a condition of this offering, the actual total public offering amount, commissions and proceeds to us, if any, are not determinable at this time. We have also agreed to reimburse Wainwright for certain specified expenses, including the fees and disbursements of its legal counsel, in an amount up to $50,000, which was paid at commencement of the offering, in addition to up to $3,500 per due diligence update session conducted in connection with each such date we file our Annual Report on Form 10-K, Quarterly Reports on Form 10-Q, Current Report on Form 8-K containing amended financial information (other than information that is furnished and not filed), or file a new registration statement or amendment or supplement to the registration statement or the accompanying prospectus, for Wainwright’s counsel’s fees, and up to $25,000 for due diligence expenses in connection with the prospectus supplement. We estimate that the total expenses for the offering will be approximately $300,000.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shares of common stock on the first trading day or such shorter settlement cycle as may be in effect under the Exchange Act from time to time, following the date on which any sales are made, or on some other date that is agreed upon by us and Wainwright in connection with a particular transaction, in return for payment of the net proceeds to us. Sales of our common stock as contemplated in this prospectus supplement will be settled through the facilities of The Depository Trust Company or by such other means as we and Wainwright may agree upon. There is no arrangement for funds to be received in an escrow, trust or similar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Wainwright will use its best efforts, consistent with its sales and trading practices, to solicit offers to purchase the shares of common stock under the terms and subject to the conditions set forth in the Sales Agreement. In connection with the sale of the shares of common stock on our behalf, Wainwright will be deemed to be an “underwriter” within the meaning of the Securities Act and the compensation of Wainwright will be deemed to be underwriting commissions or discounts. We have agreed to provide indemnification and contribution to Wainwright against certain civil liabilities, including liabilities under the Securities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of shares of our common stock pursuant to the Sales Agreement will terminate upon termination of the sales agreement as permitted therein. We and Wainwright may each terminate the Sales Agreement as provided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may be delivered in an electronic format may be made available on a website maintained by Wainwright and Wainwright may distribute this prospectus electronically.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is filed with the SEC and is incorporated by reference into the registration statement of which this prospectus is a part. See “Where You Can Find Additional Information” and “Incorporation of Documents by Reference” elsewhere in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“KALA.”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Regulation M, Wainwright will not engage in any market making activities involving our common stock while the offering is ongoing under this prospectus supplement and the accompanying prospectus. From time to time, Wainwright has provided, and may provide in the future, various advisory, investment and commercial banking and other services to us in the ordinary course of business, for which it may receive customary fees and commissions. However, except as disclosed in this prospectus supplement, we have no present arrangements with the placement agent for any further services. In addition, in the ordinary course of its various business activities, Wainwright and its affiliates may make or hold a broad array of investments and actively trade debt and equity securities (or related derivative securities) and financial instruments (which may include bank loans) for their own account and for the accounts of their customers. Such investments and securities activities may involve securities and/or instruments of ours or our affiliates. Wainwright or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by this prospectus supplement will be passed upon for us by Haynes and Boone, LLP, New York, New York. Wainwright is being represented in connection with this offering by Ellenoff Grossman &amp; Schole LLP, New York, New York.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KALA BIO, Inc. as of and for the year ended December 31, 2024,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KALA BIO, Inc. as of and for the year ended December 31, 2025, incorporated by reference in this prospectus supplement have been audited by HTL International, LLC, an independent registered public accounting firm, as stated in their report. Such consolidated financial statements have been incorporated herein by reference in reliance on the report of such firms given upon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S-3 under the Securities Act with respect to the offer and sale of our securities. This prospectus supplement and the accompanying prospectus, which constitute part of that registration statement, do not include all of the information contained in the registration statement and the accompanying exhibits. Whenever a reference is made in this prospectus supplement or in the accompanying prospectus to any of our contracts, agreements, or other documents, the reference may not be complete, and you should refer to the exhibits or to the reports or other documents incorporated by reference into this prospectus supplement or the accompanying prospectus for a copy of such contract, agreement or other document. Because we are subject to the information and reporting requirements of the Exchange Act, we file annual, quarterly and other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 SEC website referenced above also contains reports, proxy statements and other information about issuers, like us, that file electronically with the SEC.</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INCORPORATION OF DOCUMENTS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“incorporating by reference” in this prospectus supplement and accompanying prospectus certain documents we file with the SEC, which means that we can disclose important information to you by referring you to those documents. The information in the documents incorporated by reference is considered to be part of this prospectus supplement and the accompanying prospectus. Statements contained in documents that we file with the SEC and that are incorporated by reference in this prospectus supplement and the accompanying prospectus will automatically update and supersede information contained herein and therein, including information in previously filed documents or reports that have been incorporated by reference in this prospectus supplement or the accompanying prospectus, to the extent the new information differs from or is inconsistent with the old information. 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pStyle w:val="TextBody"/>
        <w:bidi w:val="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April 15, 2026;</w:t>
            </w:r>
          </w:p>
        </w:tc>
      </w:tr>
    </w:tbl>
    <w:p>
      <w:pPr>
        <w:pStyle w:val="TextBody"/>
        <w:bidi w:val="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15,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our Current Reports on Form 8-K filed with the SEC on </w:t>
            </w:r>
            <w:hyperlink r:id="rId5">
              <w:r>
                <w:rPr>
                  <w:rStyle w:val="InternetLink"/>
                  <w:rFonts w:ascii="Times New Roman;Times;Serif" w:hAnsi="Times New Roman;Times;Serif"/>
                  <w:b w:val="false"/>
                  <w:i w:val="false"/>
                  <w:caps w:val="false"/>
                  <w:smallCaps w:val="false"/>
                  <w:sz w:val="20"/>
                </w:rPr>
                <w:t>January 2, 2026</w:t>
              </w:r>
            </w:hyperlink>
            <w:r>
              <w:rPr>
                <w:rFonts w:ascii="Times New Roman;Times;Serif" w:hAnsi="Times New Roman;Times;Serif"/>
                <w:b w:val="false"/>
                <w:i w:val="false"/>
                <w:caps w:val="false"/>
                <w:smallCaps w:val="false"/>
                <w:sz w:val="20"/>
              </w:rPr>
              <w:t>; </w:t>
            </w:r>
            <w:hyperlink r:id="rId6">
              <w:r>
                <w:rPr>
                  <w:rStyle w:val="InternetLink"/>
                  <w:rFonts w:ascii="Times New Roman;Times;Serif" w:hAnsi="Times New Roman;Times;Serif"/>
                  <w:b w:val="false"/>
                  <w:i w:val="false"/>
                  <w:caps w:val="false"/>
                  <w:smallCaps w:val="false"/>
                  <w:sz w:val="20"/>
                </w:rPr>
                <w:t>January 6, 2026</w:t>
              </w:r>
            </w:hyperlink>
            <w:r>
              <w:rPr>
                <w:rFonts w:ascii="Times New Roman;Times;Serif" w:hAnsi="Times New Roman;Times;Serif"/>
                <w:b w:val="false"/>
                <w:i w:val="false"/>
                <w:caps w:val="false"/>
                <w:smallCaps w:val="false"/>
                <w:sz w:val="20"/>
              </w:rPr>
              <w:t>; </w:t>
            </w:r>
            <w:hyperlink r:id="rId7">
              <w:r>
                <w:rPr>
                  <w:rStyle w:val="InternetLink"/>
                  <w:rFonts w:ascii="Times New Roman;Times;Serif" w:hAnsi="Times New Roman;Times;Serif"/>
                  <w:b w:val="false"/>
                  <w:i w:val="false"/>
                  <w:caps w:val="false"/>
                  <w:smallCaps w:val="false"/>
                  <w:sz w:val="20"/>
                </w:rPr>
                <w:t>January 8, 2026</w:t>
              </w:r>
            </w:hyperlink>
            <w:r>
              <w:rPr>
                <w:rFonts w:ascii="Times New Roman;Times;Serif" w:hAnsi="Times New Roman;Times;Serif"/>
                <w:b w:val="false"/>
                <w:i w:val="false"/>
                <w:caps w:val="false"/>
                <w:smallCaps w:val="false"/>
                <w:sz w:val="20"/>
              </w:rPr>
              <w:t>; </w:t>
            </w:r>
            <w:hyperlink r:id="rId8">
              <w:r>
                <w:rPr>
                  <w:rStyle w:val="InternetLink"/>
                  <w:rFonts w:ascii="Times New Roman;Times;Serif" w:hAnsi="Times New Roman;Times;Serif"/>
                  <w:b w:val="false"/>
                  <w:i w:val="false"/>
                  <w:caps w:val="false"/>
                  <w:smallCaps w:val="false"/>
                  <w:sz w:val="20"/>
                </w:rPr>
                <w:t>January 23, 2026</w:t>
              </w:r>
            </w:hyperlink>
            <w:r>
              <w:rPr>
                <w:rFonts w:ascii="Times New Roman;Times;Serif" w:hAnsi="Times New Roman;Times;Serif"/>
                <w:b w:val="false"/>
                <w:i w:val="false"/>
                <w:caps w:val="false"/>
                <w:smallCaps w:val="false"/>
                <w:sz w:val="20"/>
              </w:rPr>
              <w:t>; </w:t>
            </w:r>
            <w:hyperlink r:id="rId9">
              <w:r>
                <w:rPr>
                  <w:rStyle w:val="InternetLink"/>
                  <w:rFonts w:ascii="Times New Roman;Times;Serif" w:hAnsi="Times New Roman;Times;Serif"/>
                  <w:b w:val="false"/>
                  <w:i w:val="false"/>
                  <w:caps w:val="false"/>
                  <w:smallCaps w:val="false"/>
                  <w:sz w:val="20"/>
                </w:rPr>
                <w:t>February 2, 2026</w:t>
              </w:r>
            </w:hyperlink>
            <w:r>
              <w:rPr>
                <w:rFonts w:ascii="Times New Roman;Times;Serif" w:hAnsi="Times New Roman;Times;Serif"/>
                <w:b w:val="false"/>
                <w:i w:val="false"/>
                <w:caps w:val="false"/>
                <w:smallCaps w:val="false"/>
                <w:sz w:val="20"/>
              </w:rPr>
              <w:t>; </w:t>
            </w:r>
            <w:hyperlink r:id="rId10">
              <w:r>
                <w:rPr>
                  <w:rStyle w:val="InternetLink"/>
                  <w:rFonts w:ascii="Times New Roman;Times;Serif" w:hAnsi="Times New Roman;Times;Serif"/>
                  <w:b w:val="false"/>
                  <w:i w:val="false"/>
                  <w:caps w:val="false"/>
                  <w:smallCaps w:val="false"/>
                  <w:sz w:val="20"/>
                </w:rPr>
                <w:t>February 5, 2026</w:t>
              </w:r>
            </w:hyperlink>
            <w:r>
              <w:rPr>
                <w:rFonts w:ascii="Times New Roman;Times;Serif" w:hAnsi="Times New Roman;Times;Serif"/>
                <w:b w:val="false"/>
                <w:i w:val="false"/>
                <w:caps w:val="false"/>
                <w:smallCaps w:val="false"/>
                <w:sz w:val="20"/>
              </w:rPr>
              <w:t>; </w:t>
            </w:r>
            <w:hyperlink r:id="rId11">
              <w:r>
                <w:rPr>
                  <w:rStyle w:val="InternetLink"/>
                  <w:rFonts w:ascii="Times New Roman;Times;Serif" w:hAnsi="Times New Roman;Times;Serif"/>
                  <w:b w:val="false"/>
                  <w:i w:val="false"/>
                  <w:caps w:val="false"/>
                  <w:smallCaps w:val="false"/>
                  <w:sz w:val="20"/>
                </w:rPr>
                <w:t>February 20, 2026</w:t>
              </w:r>
            </w:hyperlink>
            <w:r>
              <w:rPr>
                <w:rFonts w:ascii="Times New Roman;Times;Serif" w:hAnsi="Times New Roman;Times;Serif"/>
                <w:b w:val="false"/>
                <w:i w:val="false"/>
                <w:caps w:val="false"/>
                <w:smallCaps w:val="false"/>
                <w:sz w:val="20"/>
              </w:rPr>
              <w:t>; </w:t>
            </w:r>
            <w:hyperlink r:id="rId12">
              <w:r>
                <w:rPr>
                  <w:rStyle w:val="InternetLink"/>
                  <w:rFonts w:ascii="Times New Roman;Times;Serif" w:hAnsi="Times New Roman;Times;Serif"/>
                  <w:b w:val="false"/>
                  <w:i w:val="false"/>
                  <w:caps w:val="false"/>
                  <w:smallCaps w:val="false"/>
                  <w:sz w:val="20"/>
                </w:rPr>
                <w:t>March 4, 2026</w:t>
              </w:r>
            </w:hyperlink>
            <w:r>
              <w:rPr>
                <w:rFonts w:ascii="Times New Roman;Times;Serif" w:hAnsi="Times New Roman;Times;Serif"/>
                <w:b w:val="false"/>
                <w:i w:val="false"/>
                <w:caps w:val="false"/>
                <w:smallCaps w:val="false"/>
                <w:sz w:val="20"/>
              </w:rPr>
              <w:t>; and </w:t>
            </w:r>
            <w:hyperlink r:id="rId13">
              <w:r>
                <w:rPr>
                  <w:rStyle w:val="InternetLink"/>
                  <w:rFonts w:ascii="Times New Roman;Times;Serif" w:hAnsi="Times New Roman;Times;Serif"/>
                  <w:b w:val="false"/>
                  <w:i w:val="false"/>
                  <w:caps w:val="false"/>
                  <w:smallCaps w:val="false"/>
                  <w:sz w:val="20"/>
                </w:rPr>
                <w:t>May 7, 2026</w:t>
              </w:r>
            </w:hyperlink>
            <w:r>
              <w:rPr>
                <w:rFonts w:ascii="Times New Roman;Times;Serif" w:hAnsi="Times New Roman;Times;Serif"/>
                <w:b w:val="false"/>
                <w:i w:val="false"/>
                <w:caps w:val="false"/>
                <w:smallCaps w:val="false"/>
                <w:sz w:val="20"/>
              </w:rPr>
              <w: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1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July 14, 2017, as updated by </w:t>
            </w:r>
            <w:hyperlink r:id="rId15">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Registration Statement on Form S-3, covering this prospectus supplement, filed with the SEC on May 7, 2026, and any amendment or report filed with the SEC for the purpose of updating the description.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 this prospectus supplement shall be deemed modified, superseded or replaced for purposes of this prospectus supplement to the extent that a statement contained in this prospectus supplement, or in any subsequently filed document that also is deemed to be incorporated by reference in this prospectus supplement, modifies, supersedes or replaces such statement. Any statement so modified, superseded or replaced shall not be deemed, except as so modified, superseded or replaced, to constitute a part of this prospectus supplement.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request, orally or in writing, a copy of these documents, which will be provided to you at no cost (other than exhibits, unless such exhibits are specifically incorporated by reference), by contacting the Company at KALA BIO, Inc., Attention: Investor Relations, 1167 Massachusetts Avenue, Arlington, MA 02476. Our telephone number is (781) 996-5252. Information about us is also available at our website at </w:t>
      </w:r>
      <w:r>
        <w:rPr>
          <w:rFonts w:ascii="Times New Roman;Times;Serif" w:hAnsi="Times New Roman;Times;Serif"/>
          <w:b w:val="false"/>
          <w:i/>
          <w:caps w:val="false"/>
          <w:smallCaps w:val="false"/>
          <w:sz w:val="20"/>
        </w:rPr>
        <w:t>www.kalarx.com</w:t>
      </w:r>
      <w:r>
        <w:rPr>
          <w:rFonts w:ascii="Times New Roman;Times;Serif" w:hAnsi="Times New Roman;Times;Serif"/>
          <w:b w:val="false"/>
          <w:i w:val="false"/>
          <w:caps w:val="false"/>
          <w:smallCaps w:val="false"/>
          <w:sz w:val="20"/>
        </w:rPr>
        <w:t>. However, the information in our website is not a part of this prospectus and is not incorporated by reference.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sz w:val="28"/>
        </w:rPr>
      </w:pPr>
      <w:r>
        <w:rPr>
          <w:rFonts w:ascii="Times New Roman;Times;serif" w:hAnsi="Times New Roman;Times;serif"/>
          <w:b/>
          <w:sz w:val="28"/>
        </w:rPr>
        <w:t>KALA BIO,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$350,000,000</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PREFERRED STOCK</w:t>
        <w:br/>
        <w:t>DEBT SECURITIES</w:t>
        <w:b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series or issuances and on terms that we will determine at the time of the offering, any combination of the securities described in this prospectus, up to an aggregate amount of $350,000,000.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“Plan of Distribution.”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(“Nasdaq”) under the symbol “KALA.” On June 10, 2026, the last reported sale price of our common stock was $2.39 per share as reported on Nasdaq. We recommend that you obtain current market quotations for our common stock prior to making an investment decision. We will provide information in any applicable prospectus supplement regarding any listing of securities other than shares of our common stock on any securities exchange.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carefully read this prospectus, any prospectus supplement relating to any specific offering of securities, and all information incorporated by reference herein and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These risks are discussed in this prospectus under “Risk Factors” beginning on page 8 and in the documents incorporated by reference in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June 25, 2026.</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8840"/>
        <w:gridCol w:w="60"/>
        <w:gridCol w:w="530"/>
      </w:tblGrid>
      <w:tr>
        <w:trPr/>
        <w:tc>
          <w:tcPr>
            <w:tcW w:w="8840" w:type="dxa"/>
            <w:tcBorders/>
            <w:vAlign w:val="center"/>
          </w:tcPr>
          <w:p>
            <w:pPr>
              <w:pStyle w:val="TableContents"/>
              <w:bidi w:val="0"/>
              <w:spacing w:before="0" w:after="283"/>
              <w:jc w:val="left"/>
              <w:rPr>
                <w:caps/>
              </w:rPr>
            </w:pPr>
            <w:r>
              <w:rPr>
                <w:caps/>
              </w:rPr>
              <w:t> </w:t>
            </w:r>
          </w:p>
        </w:tc>
        <w:tc>
          <w:tcPr>
            <w:tcW w:w="6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8840" w:type="dxa"/>
            <w:tcBorders/>
            <w:shd w:fill="CCEEFF" w:val="clear"/>
            <w:vAlign w:val="center"/>
          </w:tcPr>
          <w:p>
            <w:pPr>
              <w:pStyle w:val="TableContents"/>
              <w:bidi w:val="0"/>
              <w:spacing w:before="0" w:after="283"/>
              <w:jc w:val="left"/>
              <w:rPr/>
            </w:pPr>
            <w:hyperlink w:anchor="b_001">
              <w:r>
                <w:rPr>
                  <w:rStyle w:val="InternetLink"/>
                  <w:caps/>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ii</w:t>
            </w:r>
          </w:p>
        </w:tc>
      </w:tr>
      <w:tr>
        <w:trPr/>
        <w:tc>
          <w:tcPr>
            <w:tcW w:w="8840" w:type="dxa"/>
            <w:tcBorders/>
            <w:shd w:fill="FFFFFF" w:val="clear"/>
            <w:vAlign w:val="center"/>
          </w:tcPr>
          <w:p>
            <w:pPr>
              <w:pStyle w:val="TableContents"/>
              <w:bidi w:val="0"/>
              <w:spacing w:before="0" w:after="283"/>
              <w:jc w:val="left"/>
              <w:rPr/>
            </w:pPr>
            <w:hyperlink w:anchor="b_002">
              <w:r>
                <w:rPr>
                  <w:rStyle w:val="InternetLink"/>
                  <w:caps/>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iii</w:t>
            </w:r>
          </w:p>
        </w:tc>
      </w:tr>
      <w:tr>
        <w:trPr/>
        <w:tc>
          <w:tcPr>
            <w:tcW w:w="8840" w:type="dxa"/>
            <w:tcBorders/>
            <w:shd w:fill="CCEEFF" w:val="clear"/>
            <w:vAlign w:val="center"/>
          </w:tcPr>
          <w:p>
            <w:pPr>
              <w:pStyle w:val="TableContents"/>
              <w:bidi w:val="0"/>
              <w:spacing w:before="0" w:after="283"/>
              <w:jc w:val="left"/>
              <w:rPr/>
            </w:pPr>
            <w:hyperlink w:anchor="b_003">
              <w:r>
                <w:rPr>
                  <w:rStyle w:val="InternetLink"/>
                  <w:caps/>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1</w:t>
            </w:r>
          </w:p>
        </w:tc>
      </w:tr>
      <w:tr>
        <w:trPr/>
        <w:tc>
          <w:tcPr>
            <w:tcW w:w="8840" w:type="dxa"/>
            <w:tcBorders/>
            <w:shd w:fill="FFFFFF" w:val="clear"/>
            <w:vAlign w:val="center"/>
          </w:tcPr>
          <w:p>
            <w:pPr>
              <w:pStyle w:val="TableContents"/>
              <w:bidi w:val="0"/>
              <w:spacing w:before="0" w:after="283"/>
              <w:jc w:val="left"/>
              <w:rPr/>
            </w:pPr>
            <w:hyperlink w:anchor="b_004">
              <w:r>
                <w:rPr>
                  <w:rStyle w:val="InternetLink"/>
                  <w:caps/>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8</w:t>
            </w:r>
          </w:p>
        </w:tc>
      </w:tr>
      <w:tr>
        <w:trPr/>
        <w:tc>
          <w:tcPr>
            <w:tcW w:w="8840" w:type="dxa"/>
            <w:tcBorders/>
            <w:shd w:fill="CCEEFF" w:val="clear"/>
            <w:vAlign w:val="center"/>
          </w:tcPr>
          <w:p>
            <w:pPr>
              <w:pStyle w:val="TableContents"/>
              <w:bidi w:val="0"/>
              <w:spacing w:before="0" w:after="283"/>
              <w:jc w:val="left"/>
              <w:rPr/>
            </w:pPr>
            <w:hyperlink w:anchor="b_005">
              <w:r>
                <w:rPr>
                  <w:rStyle w:val="InternetLink"/>
                  <w:caps/>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9</w:t>
            </w:r>
          </w:p>
        </w:tc>
      </w:tr>
      <w:tr>
        <w:trPr/>
        <w:tc>
          <w:tcPr>
            <w:tcW w:w="8840" w:type="dxa"/>
            <w:tcBorders/>
            <w:shd w:fill="FFFFFF" w:val="clear"/>
            <w:vAlign w:val="center"/>
          </w:tcPr>
          <w:p>
            <w:pPr>
              <w:pStyle w:val="TableContents"/>
              <w:bidi w:val="0"/>
              <w:spacing w:before="0" w:after="283"/>
              <w:jc w:val="left"/>
              <w:rPr/>
            </w:pPr>
            <w:hyperlink w:anchor="b_006">
              <w:r>
                <w:rPr>
                  <w:rStyle w:val="InternetLink"/>
                  <w:caps/>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10</w:t>
            </w:r>
          </w:p>
        </w:tc>
      </w:tr>
      <w:tr>
        <w:trPr/>
        <w:tc>
          <w:tcPr>
            <w:tcW w:w="8840" w:type="dxa"/>
            <w:tcBorders/>
            <w:shd w:fill="CCEEFF" w:val="clear"/>
            <w:vAlign w:val="center"/>
          </w:tcPr>
          <w:p>
            <w:pPr>
              <w:pStyle w:val="TableContents"/>
              <w:bidi w:val="0"/>
              <w:spacing w:before="0" w:after="283"/>
              <w:jc w:val="left"/>
              <w:rPr/>
            </w:pPr>
            <w:hyperlink w:anchor="b_007">
              <w:r>
                <w:rPr>
                  <w:rStyle w:val="InternetLink"/>
                  <w:caps/>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14</w:t>
            </w:r>
          </w:p>
        </w:tc>
      </w:tr>
      <w:tr>
        <w:trPr/>
        <w:tc>
          <w:tcPr>
            <w:tcW w:w="8840" w:type="dxa"/>
            <w:tcBorders/>
            <w:shd w:fill="FFFFFF" w:val="clear"/>
            <w:vAlign w:val="center"/>
          </w:tcPr>
          <w:p>
            <w:pPr>
              <w:pStyle w:val="TableContents"/>
              <w:bidi w:val="0"/>
              <w:spacing w:before="0" w:after="283"/>
              <w:jc w:val="left"/>
              <w:rPr/>
            </w:pPr>
            <w:hyperlink w:anchor="b_008">
              <w:r>
                <w:rPr>
                  <w:rStyle w:val="InternetLink"/>
                  <w:caps/>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21</w:t>
            </w:r>
          </w:p>
        </w:tc>
      </w:tr>
      <w:tr>
        <w:trPr/>
        <w:tc>
          <w:tcPr>
            <w:tcW w:w="8840" w:type="dxa"/>
            <w:tcBorders/>
            <w:shd w:fill="CCEEFF" w:val="clear"/>
            <w:vAlign w:val="center"/>
          </w:tcPr>
          <w:p>
            <w:pPr>
              <w:pStyle w:val="TableContents"/>
              <w:bidi w:val="0"/>
              <w:spacing w:before="0" w:after="283"/>
              <w:jc w:val="left"/>
              <w:rPr/>
            </w:pPr>
            <w:hyperlink w:anchor="b_009">
              <w:r>
                <w:rPr>
                  <w:rStyle w:val="InternetLink"/>
                  <w:caps/>
                </w:rPr>
                <w:t>Description of Subscription Rights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23</w:t>
            </w:r>
          </w:p>
        </w:tc>
      </w:tr>
      <w:tr>
        <w:trPr/>
        <w:tc>
          <w:tcPr>
            <w:tcW w:w="8840" w:type="dxa"/>
            <w:tcBorders/>
            <w:shd w:fill="FFFFFF" w:val="clear"/>
            <w:vAlign w:val="center"/>
          </w:tcPr>
          <w:p>
            <w:pPr>
              <w:pStyle w:val="TableContents"/>
              <w:bidi w:val="0"/>
              <w:spacing w:before="0" w:after="283"/>
              <w:jc w:val="left"/>
              <w:rPr/>
            </w:pPr>
            <w:hyperlink w:anchor="b_010">
              <w:r>
                <w:rPr>
                  <w:rStyle w:val="InternetLink"/>
                  <w:caps/>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25</w:t>
            </w:r>
          </w:p>
        </w:tc>
      </w:tr>
      <w:tr>
        <w:trPr/>
        <w:tc>
          <w:tcPr>
            <w:tcW w:w="8840" w:type="dxa"/>
            <w:tcBorders/>
            <w:shd w:fill="CCEEFF" w:val="clear"/>
            <w:vAlign w:val="center"/>
          </w:tcPr>
          <w:p>
            <w:pPr>
              <w:pStyle w:val="TableContents"/>
              <w:bidi w:val="0"/>
              <w:spacing w:before="0" w:after="283"/>
              <w:jc w:val="left"/>
              <w:rPr/>
            </w:pPr>
            <w:hyperlink w:anchor="b_011">
              <w:r>
                <w:rPr>
                  <w:rStyle w:val="InternetLink"/>
                  <w:caps/>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26</w:t>
            </w:r>
          </w:p>
        </w:tc>
      </w:tr>
      <w:tr>
        <w:trPr/>
        <w:tc>
          <w:tcPr>
            <w:tcW w:w="8840" w:type="dxa"/>
            <w:tcBorders/>
            <w:shd w:fill="FFFFFF" w:val="clear"/>
            <w:vAlign w:val="center"/>
          </w:tcPr>
          <w:p>
            <w:pPr>
              <w:pStyle w:val="TableContents"/>
              <w:bidi w:val="0"/>
              <w:spacing w:before="0" w:after="283"/>
              <w:jc w:val="left"/>
              <w:rPr/>
            </w:pPr>
            <w:hyperlink w:anchor="b_012">
              <w:r>
                <w:rPr>
                  <w:rStyle w:val="InternetLink"/>
                  <w:caps/>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29</w:t>
            </w:r>
          </w:p>
        </w:tc>
      </w:tr>
      <w:tr>
        <w:trPr/>
        <w:tc>
          <w:tcPr>
            <w:tcW w:w="8840" w:type="dxa"/>
            <w:tcBorders/>
            <w:shd w:fill="CCEEFF" w:val="clear"/>
            <w:vAlign w:val="center"/>
          </w:tcPr>
          <w:p>
            <w:pPr>
              <w:pStyle w:val="TableContents"/>
              <w:bidi w:val="0"/>
              <w:spacing w:before="0" w:after="283"/>
              <w:jc w:val="left"/>
              <w:rPr/>
            </w:pPr>
            <w:hyperlink w:anchor="b_013">
              <w:r>
                <w:rPr>
                  <w:rStyle w:val="InternetLink"/>
                  <w:caps/>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29</w:t>
            </w:r>
          </w:p>
        </w:tc>
      </w:tr>
      <w:tr>
        <w:trPr/>
        <w:tc>
          <w:tcPr>
            <w:tcW w:w="8840" w:type="dxa"/>
            <w:tcBorders/>
            <w:shd w:fill="FFFFFF" w:val="clear"/>
            <w:vAlign w:val="center"/>
          </w:tcPr>
          <w:p>
            <w:pPr>
              <w:pStyle w:val="TableContents"/>
              <w:bidi w:val="0"/>
              <w:spacing w:before="0" w:after="283"/>
              <w:jc w:val="left"/>
              <w:rPr/>
            </w:pPr>
            <w:hyperlink w:anchor="b_014">
              <w:r>
                <w:rPr>
                  <w:rStyle w:val="InternetLink"/>
                  <w:caps/>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29</w:t>
            </w:r>
          </w:p>
        </w:tc>
      </w:tr>
      <w:tr>
        <w:trPr/>
        <w:tc>
          <w:tcPr>
            <w:tcW w:w="8840" w:type="dxa"/>
            <w:tcBorders/>
            <w:shd w:fill="CCEEFF" w:val="clear"/>
            <w:vAlign w:val="center"/>
          </w:tcPr>
          <w:p>
            <w:pPr>
              <w:pStyle w:val="TableContents"/>
              <w:bidi w:val="0"/>
              <w:spacing w:before="0" w:after="283"/>
              <w:jc w:val="left"/>
              <w:rPr/>
            </w:pPr>
            <w:hyperlink w:anchor="b_015">
              <w:r>
                <w:rPr>
                  <w:rStyle w:val="InternetLink"/>
                  <w:caps/>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30</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3" w:name="b_001"/>
      <w:bookmarkEnd w:id="13"/>
      <w:r>
        <w:rPr>
          <w:rFonts w:ascii="Times New Roman;Times;Serif" w:hAnsi="Times New Roman;Times;Serif"/>
          <w:b/>
          <w:i w:val="false"/>
          <w:caps/>
          <w:sz w:val="20"/>
        </w:rPr>
        <w:t>About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using a “shelf” registration process. Under this shelf process, we may, from time to time, sell any combination of the securities described in this prospectus in one or more offerings up to a total amount of $350,000,000.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to be attached to the front of this prospectus may describe, as applicable: the terms of the securities offered; the public offering price; the price paid for the securities; net proceeds; and the other specific terms related to the offering of the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“KALA,” the “Company,” “we,” “us,” “our,” or similar terms refer to KALA BIO, Inc. and its subsidiaries taken as a whole, except where the context otherwise requires or as otherwise indicated.</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4" w:name="b_002"/>
      <w:bookmarkEnd w:id="14"/>
      <w:r>
        <w:rPr>
          <w:rFonts w:ascii="Times New Roman;Times;Serif" w:hAnsi="Times New Roman;Times;Serif"/>
          <w:b/>
          <w:i w:val="false"/>
          <w:caps/>
          <w:sz w:val="20"/>
        </w:rPr>
        <w:t>Cautionary Statement Regarding Forward 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 Such forward-looking statements are only predictions, and actual results and the timing of certain events and circumstances may differ materially from those described by the forward-looking statements as a result of risks and uncertainties, including, without limitation: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plans and expectations regarding our pursuit of strategic options;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obtain additional financing;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monetize our assets;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continue as a going concern;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regain and maintain compliance with the Nasdaq listing standards;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retain our remaining employees, consultants, advisors;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resume research and development activities for our MSC-S platform if we were to execute a strategic transaction or obtain significant additional funding, and our ability to develop and commercialize the Researgency agentic AI research platform;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we were to resume research and development activities, development efforts for KPI-012 and KPI-014 for potential ocular diseases;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identify additional products, product candidates or technologies with significant commercial potential that are consistent with our commercial objectives;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plans and goals with respect to the AI platform business and the deployment of the Researgency agentic AI research platform, including the development of commercial arrangements with customers in the biotechnology and pharmaceutical industries;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we were to resume research and development activities, the rate and degree of market acceptance and clinical utility of our product candidates and our estimates regarding the market opportunity for our product candidates, if approved;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expectations regarding our ability to fund our operating expenses, lease and capital expenditure requirements with our cash on hand;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intellectual property position;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estimates regarding expenses, future revenue, timing of any future revenue, capital requirements and needs for additional financing;</w:t>
            </w:r>
          </w:p>
        </w:tc>
      </w:tr>
    </w:tbl>
    <w:p>
      <w:pPr>
        <w:pStyle w:val="TextBody"/>
        <w:bidi w:val="0"/>
        <w:spacing w:before="0" w:after="283"/>
        <w:jc w:val="left"/>
        <w:rPr/>
      </w:pPr>
      <w:r>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pPr>
            <w:r>
              <w:rPr/>
              <w:t>the impact of government laws and regulations;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55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540" w:type="dxa"/>
            <w:tcBorders/>
            <w:vAlign w:val="center"/>
          </w:tcPr>
          <w:p>
            <w:pPr>
              <w:pStyle w:val="TableContents"/>
              <w:bidi w:val="0"/>
              <w:spacing w:before="0" w:after="283"/>
              <w:jc w:val="both"/>
              <w:rPr/>
            </w:pPr>
            <w:r>
              <w:rPr/>
              <w:t>our competitive position;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55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540" w:type="dxa"/>
            <w:tcBorders/>
            <w:vAlign w:val="center"/>
          </w:tcPr>
          <w:p>
            <w:pPr>
              <w:pStyle w:val="TableContents"/>
              <w:bidi w:val="0"/>
              <w:spacing w:before="0" w:after="283"/>
              <w:jc w:val="both"/>
              <w:rPr/>
            </w:pPr>
            <w:r>
              <w:rPr/>
              <w:t>developments relating to our competitors and our industry;</w:t>
            </w:r>
          </w:p>
        </w:tc>
      </w:tr>
    </w:tbl>
    <w:p>
      <w:pPr>
        <w:pStyle w:val="TextBody"/>
        <w:bidi w:val="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135"/>
        <w:gridCol w:w="230"/>
        <w:gridCol w:w="9770"/>
      </w:tblGrid>
      <w:tr>
        <w:trPr/>
        <w:tc>
          <w:tcPr>
            <w:tcW w:w="135" w:type="dxa"/>
            <w:tcBorders/>
            <w:vAlign w:val="center"/>
          </w:tcPr>
          <w:p>
            <w:pPr>
              <w:pStyle w:val="TableContents"/>
              <w:bidi w:val="0"/>
              <w:spacing w:before="0" w:after="283"/>
              <w:jc w:val="both"/>
              <w:rPr/>
            </w:pPr>
            <w:r>
              <w:rPr/>
              <w:t xml:space="preserve">  </w:t>
            </w:r>
          </w:p>
        </w:tc>
        <w:tc>
          <w:tcPr>
            <w:tcW w:w="230" w:type="dxa"/>
            <w:tcBorders/>
            <w:vAlign w:val="center"/>
          </w:tcPr>
          <w:p>
            <w:pPr>
              <w:pStyle w:val="TableContents"/>
              <w:bidi w:val="0"/>
              <w:spacing w:before="0" w:after="283"/>
              <w:jc w:val="both"/>
              <w:rPr/>
            </w:pPr>
            <w:r>
              <w:rPr/>
              <w:t xml:space="preserve">● </w:t>
            </w:r>
          </w:p>
        </w:tc>
        <w:tc>
          <w:tcPr>
            <w:tcW w:w="9770" w:type="dxa"/>
            <w:tcBorders/>
            <w:vAlign w:val="center"/>
          </w:tcPr>
          <w:p>
            <w:pPr>
              <w:pStyle w:val="TableContents"/>
              <w:bidi w:val="0"/>
              <w:spacing w:before="0" w:after="283"/>
              <w:jc w:val="both"/>
              <w:rPr/>
            </w:pPr>
            <w:r>
              <w:rPr>
                <w:sz w:val="20"/>
              </w:rPr>
              <w:t>our business and business relationships; and</w:t>
            </w:r>
            <w:r>
              <w:rPr/>
              <w:t xml:space="preserve"> </w:t>
            </w:r>
          </w:p>
        </w:tc>
      </w:tr>
      <w:tr>
        <w:trPr/>
        <w:tc>
          <w:tcPr>
            <w:tcW w:w="135" w:type="dxa"/>
            <w:tcBorders/>
            <w:vAlign w:val="center"/>
          </w:tcPr>
          <w:p>
            <w:pPr>
              <w:pStyle w:val="TableContents"/>
              <w:bidi w:val="0"/>
              <w:spacing w:before="0" w:after="283"/>
              <w:jc w:val="both"/>
              <w:rPr/>
            </w:pPr>
            <w:r>
              <w:rPr/>
              <w:t xml:space="preserve">  </w:t>
            </w:r>
          </w:p>
        </w:tc>
        <w:tc>
          <w:tcPr>
            <w:tcW w:w="230" w:type="dxa"/>
            <w:tcBorders/>
            <w:vAlign w:val="center"/>
          </w:tcPr>
          <w:p>
            <w:pPr>
              <w:pStyle w:val="TableContents"/>
              <w:bidi w:val="0"/>
              <w:spacing w:before="0" w:after="283"/>
              <w:jc w:val="both"/>
              <w:rPr/>
            </w:pPr>
            <w:r>
              <w:rPr/>
              <w:t xml:space="preserve">  </w:t>
            </w:r>
          </w:p>
        </w:tc>
        <w:tc>
          <w:tcPr>
            <w:tcW w:w="9770" w:type="dxa"/>
            <w:tcBorders/>
            <w:vAlign w:val="center"/>
          </w:tcPr>
          <w:p>
            <w:pPr>
              <w:pStyle w:val="TableContents"/>
              <w:bidi w:val="0"/>
              <w:spacing w:before="0" w:after="283"/>
              <w:jc w:val="both"/>
              <w:rPr/>
            </w:pPr>
            <w:r>
              <w:rPr/>
              <w:t xml:space="preserve">  </w:t>
            </w:r>
          </w:p>
        </w:tc>
      </w:tr>
      <w:tr>
        <w:trPr/>
        <w:tc>
          <w:tcPr>
            <w:tcW w:w="135" w:type="dxa"/>
            <w:tcBorders/>
            <w:vAlign w:val="center"/>
          </w:tcPr>
          <w:p>
            <w:pPr>
              <w:pStyle w:val="TableContents"/>
              <w:bidi w:val="0"/>
              <w:spacing w:before="0" w:after="283"/>
              <w:jc w:val="both"/>
              <w:rPr/>
            </w:pPr>
            <w:r>
              <w:rPr/>
              <w:t xml:space="preserve">  </w:t>
            </w:r>
          </w:p>
        </w:tc>
        <w:tc>
          <w:tcPr>
            <w:tcW w:w="230" w:type="dxa"/>
            <w:tcBorders/>
            <w:vAlign w:val="center"/>
          </w:tcPr>
          <w:p>
            <w:pPr>
              <w:pStyle w:val="TableContents"/>
              <w:bidi w:val="0"/>
              <w:spacing w:before="0" w:after="283"/>
              <w:jc w:val="both"/>
              <w:rPr/>
            </w:pPr>
            <w:r>
              <w:rPr/>
              <w:t xml:space="preserve">● </w:t>
            </w:r>
          </w:p>
        </w:tc>
        <w:tc>
          <w:tcPr>
            <w:tcW w:w="9770" w:type="dxa"/>
            <w:tcBorders/>
            <w:vAlign w:val="center"/>
          </w:tcPr>
          <w:p>
            <w:pPr>
              <w:pStyle w:val="TableContents"/>
              <w:bidi w:val="0"/>
              <w:spacing w:before="0" w:after="283"/>
              <w:jc w:val="both"/>
              <w:rPr/>
            </w:pPr>
            <w:r>
              <w:rPr>
                <w:sz w:val="20"/>
              </w:rPr>
              <w:t>the potential impact of global economic and geopolitical developments on our business, operations, strategy and goals.</w:t>
            </w:r>
            <w:r>
              <w:rPr/>
              <w:t xml:space="preserve">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actual results to differ materially from the results anticipated in these forward-looking statements are described in this prospectus, including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w:t>
      </w:r>
      <w:r>
        <w:rPr>
          <w:rFonts w:ascii="Times New Roman;Times;Serif" w:hAnsi="Times New Roman;Times;Serif"/>
          <w:b w:val="false"/>
          <w:i/>
          <w:caps w:val="false"/>
          <w:smallCaps w:val="false"/>
          <w:sz w:val="20"/>
        </w:rPr>
        <w:t>Part I, Item 1A. — Risk Factors</w:t>
      </w:r>
      <w:r>
        <w:rPr>
          <w:rFonts w:ascii="Times New Roman;Times;Serif" w:hAnsi="Times New Roman;Times;Serif"/>
          <w:b w:val="false"/>
          <w:i w:val="false"/>
          <w:caps w:val="false"/>
          <w:smallCaps w:val="false"/>
          <w:sz w:val="20"/>
        </w:rPr>
        <w:t>” of the Company’s Annual Report on Form 10-K for the fiscal year ended December 31, 2025, filed on April 15, 2026 and the risk factors described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applicable prospectus supplement.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prospectus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applicable prospectus supplement and any related free-writing prospectus and the documents incorporated by reference in this prospectus with the understanding that our actual future results, levels of activity, performance and events and circumstances may be materially different from what we expect. The forward-looking statements contained or incorporated by reference in this prospectus or any prospectus supplement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iv</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sz w:val="20"/>
          <w:bdr w:val="single" w:sz="8" w:space="5" w:color="000000"/>
        </w:rPr>
      </w:pPr>
      <w:bookmarkStart w:id="15" w:name="b_003"/>
      <w:bookmarkEnd w:id="15"/>
      <w:r>
        <w:rPr>
          <w:rFonts w:ascii="Times New Roman;Times;Serif" w:hAnsi="Times New Roman;Times;Serif"/>
          <w:b/>
          <w:i w:val="false"/>
          <w:caps/>
          <w:sz w:val="20"/>
          <w:bdr w:val="single" w:sz="8" w:space="5" w:color="000000"/>
        </w:rPr>
        <w:t>Prospectus Summary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notes thereto that are incorporated by reference in this prospectus. Some of the statements in this prospectus and the documents incorporated by reference herein constitute forward-looking statements that involve risks and uncertainties. See information set forth under the section “Cautionary Statement Regarding Forward-Looking Statements.”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biopharmaceutical company in transition, evaluating the development of a dedicated, on-premises artificial intelligence (AI) infrastructure platform for the biotechnology industry. Our current focus is leveraging our mesenchymal stem cell secretome (“MSC-S”) platform to test development of a scalable AI platform-as-a-service business to deploy secure, purpose-built AI systems directly within biotech and pharmaceutical client environments. We have historically been engaged in the research, development and commercialization of innovative therapies for rare and severe diseases of the front and back of the eye. Our lead product candidate was KPI-012, MSC-S, which we acquired from Combangio, Inc.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(“FDA”), which was accepted in December 2022. In February 2023, we dosed our first patient in the United States in our CHASE (Corneal Healing After SEcretome therapy) Phase 2b clinical trial of KPI-012 for PCED (the “CHASE trial”). By September 2025, the CHASE trial did not meet its primary endpoints, and we determined to discontinue our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We are in the process of evaluating and transitioning from historical biologics research and development (R&amp;D) activities to an “AI platform-as-a-service” model intended to provide dedicated, on-premises artificial intelligence infrastructure solutions to biotechnology and pharmaceutical customers. Following the discontinuation of the CHASE Phase 2b clinical trial of KPI-012 in September 2025 and the subsequent resolution of our obligations to Oxford Finance, our current operating focus is (i) the monetization or out-licensing of remaining biologics-related assets and (ii) development and commercialization planning for our licensed Researgency agentic AI platform (the “Researgency Platform”). This transition is expected to impact our operating expenses, capital requirements, and sources and uses of cash as described further below.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We have refocused our business on two complementary strategic priorities. First, we are preserving and seeking to maximize the value of our MSC-S biologics asset portfolio, including the KPI-012 and KPI-014 product candidates and related intellectual property, through potential licensing, collaboration, and other strategic arrangements with third parties, as well as through evaluation of opportunities to resume preclinical development activities subject to the availability of additional capital. Second, we are building our Researgency business through our exclusive license for the Researgency Platform, which we intend to deploy as a dedicated, on-premises AI infrastructure solution for biotechnology and pharmaceutical companies. We believe this dual-track strategy preserves and creates optionality with respect to our biologics assets while simultaneously pursuing a potential business opportunity in the rapidly growing AI platform market for the biotechnology industry.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3, 2026, we entered into an exclusive license for the Researgency AI research platform (“Researgency”) from Younet AI (“Younet”), through which we intend to test and assess the feasibility of offering a dedicated AI infrastructure partner for the biotechnology industry. Our goal is to enable companies of all sizes to unlock the value of their proprietary biological data without surrendering control of it through the development of a specialized agentic AI research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Suspension of Clinical Trial</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September 28, 2025, the board of directors of the Company (the “Board”) determined to cease development of KPI-012 and the MSC-S platform because the CHASE trial did not meet the primary endpoint of complete healing of PCED as measured by corneal fluorescein staining. The CHASE trial also failed to achieve statistical significance for key secondary efficacy endpoints, with no meaningful difference observed between either KPI-012 treatment arm and the placebo arm. In connection with such decision, we implemented a reduction in our workforce of approximately 19 employees, or approximately 51%.</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Younet AI Licensing Agreement and the Researgency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Following the decision to suspend the CHASE trial, and as part of our strategic transition, on March 3, 2026, we entered into an exclusive licensing agreement with Younet (the “Younet License Agreement”), pursuant to which we secured worldwide exclusive rights to Researgency, specifically adapted for biotechnology applications. Under our license for Researgency, we plan to evaluate whether the platform can be configured to support biotechnology research workflows and data-governance requirements. Specific technical configurations and commercialization plans, including pricing and service levels, remain under development and subject to customer requirements and applicable laws and guidance.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strategy is to pursue two complementary business lines: (i) the monetization of a proprietary biologics asset portfolio centered on the Company’s MSC-S platform and its associated IP, and (ii) the development of the Researgency business, through which the Company intends to deploy Researgency to provide a dedicated, on-premises AI infrastructure solution for biotechnology and pharmaceutical companies. Key elements of our current strategy include: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Preserve and seek to monetize our MSC-S biologics asset portfolio. We are preserving our MSC-S platform intellectual property, including the KPI-012 and KPI-014 product candidates and related patents and know-how, and are evaluating strategic options with respect to those assets, including licensing, sale, out-licensing, collaboration, and other arrangements with one or more third parties. We may evaluate preclinical activities in the future if we secure additional funding and identify suitable development partners. We do not have any ongoing clinical trials as of the date of this filing.</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Develop and aim to deploy Researgency as a dedicated biotechnology industry solution. Through our exclusive license for Researgency, we intend to serve as a dedicated AI infrastructure partner for biotechnology and pharmaceutical companies. Researgency is designed for on-premises deployment within client environments, enabling customers to leverage advanced AI capabilities while maintaining complete control over their proprietary biological data and intellectual property. We also intend to offer the platform on a platform-as-a-service basis, together with implementation support, maintenance subscriptions, and data analytics services, targeting mid-size biotechnology companies, contract research organizations, and pharmaceutical companies as our primary customer base. Any commercialization, pricing and feature set remain subject to further development, validation, applicable regulatory compliance and customer demand.</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Evaluate Researgency using our proprietary KPI-012 research dataset. As an initial step toward potential commercialization of Researgency, we intend to use our accumulated KPI-012 clinical development dataset, which includes data from 79 patients across 37 clinical trial sites together with related regulatory submission materials, as a proof-of-concept validation environment. This self-validation approach is designed to generate reference case studies and to refine platform capabilities using real-world biotechnology research data prior to commercial deployment with external customers. There can be no assurance that these efforts will identify commercially actionable opportunities.</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Pursue strategic arrangements across both business lines. We plan to pursue value-driven strategic transactions across both our biologics portfolio and our Researgency business, which may include licensing.</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 xml:space="preserve">Reverse Stock Split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7, 2026, we filed a Certificate of Amendment (the “Certificate of Amendment”) to the Company’s Restated Certificate of Incorporation (as amended, the “Certificate of Incorporation”) with the Secretary of State of Delaware to effect a 1-for-50 reverse stock split of the shares of our common stock, either issued and outstanding or held by the Company as treasury stock (the “Reverse Stock Split”), effective as of 4:05 p.m. (Delaware time) on May 8, 2026 (the “Effective Time”). As previously reported, the Company held a special meeting of stockholders on January 30, 2026 (the “Special Meeting”), at which Special Meeting the Company’s stockholders approved the Certificate of Amendment to effect a reverse stock split of our common stock at a ratio in the range of 1-for-2 to 1-for-100, with such ratio to be determined by our Board of Directors (the “Board”) and included in a public announcement. The Board determined to effect the Reverse Stock Split at a ratio of 1-for-50 and approved the corresponding final form of the Certificate of Amendment.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As a result of the Reverse Stock Split, every 50 shares of issued and outstanding common stock at 4:05 p.m. (Delaware Time) on May 8, 2026, was automatically combined into one issued and outstanding share of common stock, without any change in the par value per share. No fractional shares were issued as a result of the Reverse Stock Split. Stockholders that would hold fractional shares as a result of the Reverse Stock Split were entitled to receive a cash payment in lieu of said fractional shares based on the closing price on the Nasdaq Capital Market on May 7, 2026. The Reverse Stock Split reduced the number of shares of Common Stock outstanding from 929,491,578 shares to 18,589,787 shares. The number of authorized shares of Common Stock under the Certificate of Incorporation remained unchanged at 1,500,000,000 shares.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Common Stock began trading on a Reverse Stock Split-adjusted basis on the Nasdaq Capital Market on May 11, 2026. The trading symbol for the Common Stock remained “KALA.” The new CUSIP number for the Common Stock following the Reverse Stock Split is 483119301.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in this prospectus relating to our common stock, including share counts, per share amounts, exercise prices and share reserves, is presented on a pre–Reverse Stock Split basis and has not been adjusted to reflect the Reverse Stock Split. Subsequent SEC filings after the Effective Time may reflect post–Reverse Stock Split amounts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Unaudited Financial Information</w:t>
      </w:r>
      <w:r>
        <w:rPr>
          <w:rFonts w:ascii="Times New Roman;Times;Serif" w:hAnsi="Times New Roman;Times;Serif"/>
          <w:b w:val="false"/>
          <w:i w:val="false"/>
          <w:caps w:val="false"/>
          <w:smallCaps w:val="false"/>
          <w:sz w:val="20"/>
          <w:bdr w:val="single" w:sz="8" w:space="5" w:color="000000"/>
        </w:rPr>
        <w:t xml:space="preserve">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impact of the Reverse Stock Split included herein has been prepared, without audit, pursuant to the rules and regulations of the SEC. Accordingly, this information should be read in conjunction with the financial statements and notes thereto included in the Company’s Annual Report on Form 10-K for the fiscal year ended December 31, 2025 (the “Annual Report”).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unaudited information includes the accounts of KALA BIO, Inc. and its wholly owned subsidiaries, Kala Pharmaceuticals Security Corporation and Combangio, Inc. (“Combangio”). All intercompany transactions and balances have been eliminated in consolidation.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Summary of Relevant Reverse Stock Split Information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As a result of the Reverse Stock Split, every 50 shares of issued and outstanding common stock was combined into one issued and outstanding share of common stock, without any change in the par value per share. Below is the historical impact on the Loss Per-Share for the years-ended December 31, 2025 and 2024. As a result of the Reverse Stock Split, the number of common shares outstanding as of December 31, 2024, December 31, 2025 and June 9, 2026 were 121,824, 556,995 and 18,589,787, respectively.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120" w:after="12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Basic and diluted net loss per share attributable to common stockholders was calculated as follows for the years ended December 31, 2025 and 2024: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8285" w:type="dxa"/>
        <w:jc w:val="left"/>
        <w:tblInd w:w="0" w:type="dxa"/>
        <w:tblLayout w:type="fixed"/>
        <w:tblCellMar>
          <w:top w:w="0" w:type="dxa"/>
          <w:left w:w="0" w:type="dxa"/>
          <w:bottom w:w="0" w:type="dxa"/>
          <w:right w:w="0" w:type="dxa"/>
        </w:tblCellMar>
      </w:tblPr>
      <w:tblGrid>
        <w:gridCol w:w="6005"/>
        <w:gridCol w:w="120"/>
        <w:gridCol w:w="170"/>
        <w:gridCol w:w="740"/>
        <w:gridCol w:w="125"/>
        <w:gridCol w:w="120"/>
        <w:gridCol w:w="170"/>
        <w:gridCol w:w="695"/>
        <w:gridCol w:w="140"/>
      </w:tblGrid>
      <w:tr>
        <w:trPr/>
        <w:tc>
          <w:tcPr>
            <w:tcW w:w="600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 xml:space="preserve">December 31, </w:t>
            </w:r>
          </w:p>
        </w:tc>
        <w:tc>
          <w:tcPr>
            <w:tcW w:w="14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600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w:t>
            </w:r>
          </w:p>
        </w:tc>
        <w:tc>
          <w:tcPr>
            <w:tcW w:w="14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600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tc>
        <w:tc>
          <w:tcPr>
            <w:tcW w:w="140" w:type="dxa"/>
            <w:tcBorders/>
            <w:vAlign w:val="center"/>
          </w:tcPr>
          <w:p>
            <w:pPr>
              <w:pStyle w:val="TableContents"/>
              <w:bidi w:val="0"/>
              <w:spacing w:before="0" w:after="283"/>
              <w:ind w:left="0" w:right="0" w:hanging="180"/>
              <w:jc w:val="center"/>
              <w:rPr>
                <w:caps w:val="false"/>
                <w:smallCaps w:val="false"/>
              </w:rPr>
            </w:pPr>
            <w:r>
              <w:rPr>
                <w:caps w:val="false"/>
                <w:smallCaps w:val="false"/>
              </w:rPr>
              <w:t xml:space="preserve">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Numerator: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attributable to common stockholders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(26,980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(38,511 </w:t>
            </w:r>
          </w:p>
        </w:tc>
        <w:tc>
          <w:tcPr>
            <w:tcW w:w="14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Denominator: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basic and diluted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162,966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75,921 </w:t>
            </w:r>
          </w:p>
        </w:tc>
        <w:tc>
          <w:tcPr>
            <w:tcW w:w="14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per share attributable to common stockholders, basic and diluted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(165.56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(507.25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rFonts w:ascii="Times New Roman;Times;Serif" w:hAnsi="Times New Roman;Times;Serif"/>
                <w:sz w:val="20"/>
              </w:rPr>
              <w:t>(1)</w:t>
            </w:r>
            <w:r>
              <w:rPr/>
              <w:t xml:space="preserve"> </w:t>
            </w:r>
          </w:p>
        </w:tc>
        <w:tc>
          <w:tcPr>
            <w:tcW w:w="9935" w:type="dxa"/>
            <w:tcBorders/>
            <w:vAlign w:val="center"/>
          </w:tcPr>
          <w:p>
            <w:pPr>
              <w:pStyle w:val="TableContents"/>
              <w:bidi w:val="0"/>
              <w:spacing w:before="0" w:after="283"/>
              <w:jc w:val="both"/>
              <w:rPr/>
            </w:pPr>
            <w:r>
              <w:rPr>
                <w:rFonts w:ascii="Times New Roman;Times;Serif" w:hAnsi="Times New Roman;Times;Serif"/>
                <w:sz w:val="20"/>
              </w:rPr>
              <w:t>Included in the weighted-average common shares outstanding, basic and diluted are vested but deferred shares for which all contingencies have been satisfied. Number of shares, and per share information have been retroactively adjusted to reflect the impact of the Reverse Stock Split.</w:t>
            </w:r>
            <w:r>
              <w:rPr/>
              <w:t xml:space="preserve"> </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following potential common stock equivalents were excluded from the calculation of diluted net loss per share attributable to common stockholders for the periods indicated because including them would have had an anti-dilutive effect. The share amounts presented below represent the average of the number of incremental shares included in each quarterly calculation: </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7140" w:type="dxa"/>
        <w:jc w:val="left"/>
        <w:tblInd w:w="0" w:type="dxa"/>
        <w:tblLayout w:type="fixed"/>
        <w:tblCellMar>
          <w:top w:w="0" w:type="dxa"/>
          <w:left w:w="0" w:type="dxa"/>
          <w:bottom w:w="0" w:type="dxa"/>
          <w:right w:w="0" w:type="dxa"/>
        </w:tblCellMar>
      </w:tblPr>
      <w:tblGrid>
        <w:gridCol w:w="4925"/>
        <w:gridCol w:w="120"/>
        <w:gridCol w:w="120"/>
        <w:gridCol w:w="740"/>
        <w:gridCol w:w="120"/>
        <w:gridCol w:w="120"/>
        <w:gridCol w:w="120"/>
        <w:gridCol w:w="740"/>
        <w:gridCol w:w="135"/>
      </w:tblGrid>
      <w:tr>
        <w:trPr/>
        <w:tc>
          <w:tcPr>
            <w:tcW w:w="49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 xml:space="preserve">December 31, </w:t>
            </w:r>
          </w:p>
        </w:tc>
        <w:tc>
          <w:tcPr>
            <w:tcW w:w="135"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49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w:t>
            </w:r>
          </w:p>
        </w:tc>
        <w:tc>
          <w:tcPr>
            <w:tcW w:w="135"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49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tc>
        <w:tc>
          <w:tcPr>
            <w:tcW w:w="135" w:type="dxa"/>
            <w:tcBorders/>
            <w:vAlign w:val="center"/>
          </w:tcPr>
          <w:p>
            <w:pPr>
              <w:pStyle w:val="TableContents"/>
              <w:bidi w:val="0"/>
              <w:spacing w:before="0" w:after="283"/>
              <w:ind w:left="0" w:right="0" w:hanging="180"/>
              <w:jc w:val="center"/>
              <w:rPr>
                <w:caps w:val="false"/>
                <w:smallCaps w:val="false"/>
              </w:rPr>
            </w:pPr>
            <w:r>
              <w:rPr>
                <w:caps w:val="false"/>
                <w:smallCaps w:val="false"/>
              </w:rPr>
              <w:t xml:space="preserve">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to purchase shares of common stock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27,466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18,113 </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Unvested RSUs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7,201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12,438 </w:t>
            </w:r>
          </w:p>
        </w:tc>
        <w:tc>
          <w:tcPr>
            <w:tcW w:w="13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Unexercised warrants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preferred stock (as converted to common stock)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368,660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145,883 </w:t>
            </w:r>
          </w:p>
        </w:tc>
        <w:tc>
          <w:tcPr>
            <w:tcW w:w="13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403,388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176,518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720" w:right="0" w:hanging="36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 Smaller Reporting Company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smaller reporting company as defined in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under the laws of the State of Delaware in July 2009. On August 2, 2023, we changed our name from Kala Pharmaceuticals, Inc. to KALA BIO, Inc. Our principal executive offices are located at 1167 Massachusetts Avenue, Arlington, MA 02476, and our telephone number is (781) 996-5252. Our website address is www.kalarx.com. Information contained on, or that can be accessed through, our website is not and shall not be deemed to be a part of this prospectus or incorporated by reference hereto. Through our website, we will make available, free of charge, our Annual Report on Form 10-K, Quarterly Reports on Form 10-Q, Current Reports on Form 8-K and any amendments to these reports, as soon as reasonably practicable after such material is electronically filed with, or furnished to, the SEC.</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Securities We May Offer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offer up to $350,000,000 of common stock, preferred stock, various series of debt securities, warrants, units and/or subscription rights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Common Stock</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shares of our common stock from time to time. Holders of our common stock are entitled to receive ratably dividends as may be declared by the Board out of funds legally available for that purpose. We have never paid cash dividends on our common stock and do not anticipate paying any cash dividends in the foreseeable future but intend to retain our capital resources for reinvestment in our business.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Each share of common stock entitles the holder to one vote, either in person or by proxy, at meetings of stockholders. The holders are not permitted to vote their shares cumulatively. Each election of directors by our stockholders will be determined by a plurality of the votes cast by the stockholders entitled to vote on the election. Other than the election of directors, all matters submitted to a vote of stockholders require the affirmative vote of a majority of the votes cast by the stockholders at the meeting and entitled to vote on the subject matter, voting affirmatively or negatively (excluding abstentions and broker non-votes) to authorize, affirm, ratify or consent to such act or action, except as otherwise provided by our Certificate of Incorporation, our Third Amended and Restated By-Laws (the “Bylaws”), the rules or regulations of any stock exchange applicable to us, applicable law or pursuant to any regulation applicable to us or our securities.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Holders of our common stock have no preemptive rights or other subscription rights, conversion rights, redemption or sinking fund provisions. Subject to the rights of the holders of our preferred stock, upon our liquidation, dissolution or winding up, the holders of our common stock will be entitled to share ratably in the net assets legally available for distribution to stockholders after the payment of all of our debts and other liabilities. The rights, preferences and privileges of holders of our common stock are subject to, and may be adversely affected by, the rights of the holders of any series of preferred stock, which may be designated solely by action of the Board and issued in the future.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Preferred Stock</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shares of our preferred stock from time to time, in one or more series. The Board will determine the rights, preferences, privileges and restrictions of the preferred stock, including dividend rights, conversion rights, voting rights, terms of redemption, liquidation preferences, sinking fund terms and the number of shares constituting any series or the designation of such series, without any further vote or action by stockholders. Convertible preferred stock will be convertible into our common stock or exchangeable for our other securities. Conversion may be mandatory, at the option of the holder, or both and would be at prescribed conversion rates. If we sell any series of preferred stock under this prospectus and applicable prospectus supplements, we will fix the rights, preferences, privileges and restrictions of the preferred stock of such series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the related series of preferred stock. We urge you to read the applicable prospectus supplement related to the series of preferred stock being offered, as well as the complete certificate of designation that contains the terms of the applicable series of preferred stock.</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 description of the Series AA Preferred Stock, see “Description of Capital Stock” on page 10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Debt Securities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Warrants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warrants for the purchase of common stock or preferred stock in one or more series. We may issue warrants independently or together with common stock or preferred stock, and the warrants may be attached to or separate from these securities. We will evidence each series of warrants by warrant certificates that we will issue under a separate agreement. We may enter into warrant agreements with a bank or trust company that we select to be our warrant agent. We will indicate the name and address of the warrant agent in the applicable prospectus supplement relating to a particular series of warrants.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this prospectus, we have summarized certain general features of the warrants. We urge you, however, to read the applicable prospectus supplement related to the particular series of warrants being offered, as well as the warrant agreements and warrant certificates that contain the terms of the warrants. We will file as exhibits to the registration statement of which this prospectus is a part, or will incorporate by reference from reports that we file with the SEC, the form of warrant agreement or warrant certificate containing the terms of the warrants we are offering before the issuance of the warrants.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Subscription Rights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subscription rights to purchase shares of our common stock or other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We will file as exhibits to the registration statement of which this prospectus is a part, or will incorporate by reference reports that we file with the SEC, the form of such agreement and any supplemental agreements that describe the terms of the subscription rights we are offering before the issuance of such subscription rights.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Units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units consisting of common stock, preferred stock, debt securities, and/or warrants for the purchase of common stock or preferred stock in one or more series. In this prospectus, we have summarized certain general features of the units. We urge you, however, to read the applicable prospectus supplement related to the series of units being offered, as well as the unit agreements that contain the terms of the units. We will file as exhibits to the registration statement of which this prospectus is a part, or will incorporate by reference reports that we file with the SEC, the form of unit agreement and any supplemental agreements that describe the terms of the series of units we are offering before the issuance of the related series of units.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6" w:name="b_004"/>
      <w:bookmarkEnd w:id="16"/>
      <w:r>
        <w:rPr>
          <w:rFonts w:ascii="Times New Roman;Times;Serif" w:hAnsi="Times New Roman;Times;Serif"/>
          <w:b/>
          <w:i w:val="false"/>
          <w:caps/>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invest in our securities, you should consider carefully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 Item 1A, “Risk Factors,” in our most recent Annual Report on Form 10-K or any updates in our Quarterly Reports on Form 10-Q, which are incorporated herein by reference, as updated or superseded by the risks and uncertainties described under similar headings in the other documents that are filed after the date hereof and incorporated by reference into this prospectus and any prospectus supplement related to a particular offering.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7" w:name="b_005"/>
      <w:bookmarkEnd w:id="17"/>
      <w:r>
        <w:rPr>
          <w:rFonts w:ascii="Times New Roman;Times;Serif" w:hAnsi="Times New Roman;Times;Serif"/>
          <w:b/>
          <w:i w:val="false"/>
          <w:caps/>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product development and manufacturing, sales and marketing and working capital and other general corporate purposes. We have not determined the amounts we plan to spend on any of the areas listed above or the timing of these expenditures. As a result, our management will have broad discretion over the allocation of net proceeds, if any, we receive in connection with securities offered pursuant to this prospectus for any purpose. We may initially invest the net proceeds in short-term, investment-grade, interest-bearing securities or apply them to the reduction of short-term indebtedness.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8" w:name="b_006"/>
      <w:bookmarkEnd w:id="18"/>
      <w:r>
        <w:rPr>
          <w:rFonts w:ascii="Times New Roman;Times;Serif" w:hAnsi="Times New Roman;Times;Serif"/>
          <w:b/>
          <w:i w:val="false"/>
          <w:caps/>
          <w:sz w:val="20"/>
        </w:rPr>
        <w:t>Description of Capital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common stock and preferred stock summarizes the material terms and provisions of the common stock and preferred stock that we may offer under this prospectus, but is not complete. For the complete terms of our common stock and preferred stock, please refer to our Certificate of Incorporation and Bylaws and any certificates of designation for our preferred stock. While the terms we have summarized below will apply generally to any future common stock or preferred stock that we may offer, we will describe the specific terms of any series of preferred stock in more detail in the applicable prospectus supplement. If we so indicate in a prospectus supplement, the terms of any preferred stock we offer under that prospectus supplement may differ from the terms we describe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 us to issue 1,500,000,000 shares of common stock, $0.001 par value per share, and 5,000,000 shares of preferred stock, par value $0.001 per share, which may be issued from time to time in one or more series, each of which will have such distinctive designation or title as shall be determined by the Board prior to the issuance of any shares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proportionately any dividends as may be declared by the Board, subject to any preferential dividend rights of outstanding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or dissolution, the holders of our common stock rank junior to holders of our Series AA Preferred Stock, and are entitled to receive proportionately all assets available for distribution to stockholders after the payment of all debts and other liabilities and following any distributions to holders of our Series AA Preferred Stock. Holders of our common stock have no preemptive, subscription, redemption or conversion rights. No sinking fund provisions are applicable to our common stock. The rights, preferences and privileges of holders of our common stock are subject to and may be adversely affected by the rights of the holders of shares of any series of our preferred stock that we may designate and issue in the future. All outstanding shares of our common stock are validly authorized and issued, fully paid and nonassessable.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The transfer agent’s address is 28 Liberty Street, Floor 53, New York, NY 10005. Our common stock is listed on Nasdaq under the symbol “KALA.”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to issue 5,000,000 shares of preferred stock without further action by the holders of common stock. The shares of preferred stock may be issued from time to time in one or more series, each of which will have such distinctive designation or title as shall be determined by the Board prior to the issuance of any shares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AA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designated 900,000 shares of preferred stock as Series AA Convertible Non-Redeemable Preferred Stock, par value $0.001 (the “Series AA Preferred Stock”). The following are the principal terms of the Series AA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If the Board declares a dividend or other distribution on the Company’s common stock (the “Common Stock”), payable in cash, in kind, or in other securities or property (other than dividends payable in shares of Common Stock), holders of the Series AA Preferred Stock are entitled to receive “Participating Dividends” in an amount equal to the dividends that would have been payable on the number of shares of Common Stock into which such holder’s Series AA Preferred Stock could be converted as of the applicable record date (or, if no record date is established, as of the date of such dividend), determined without regard to any restrictions on conversion. Participating Dividends are payable at the same time as dividends on the Common Stock are paid.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The Series AA Preferred Stock has no voting rights, except as required by law (including without limitation, the DGCL). However, so long as any shares of Series AA Preferred Stock are outstanding, the Company may not take certain actions without the approval of the holders of a majority of the then-outstanding Series AA Preferred Stock (the “Requisite Holders”), including: (i) adverse amendments to the Certificate of Designations, (ii) certain adverse amendments to the Certificate of Incorporation or Bylaws (or filing of a new preferred certificate of designations) that adversely affects the Series AA Preferred Stock, (iii) increasing or decreasing (other than by conversion) the authorized number of shares of Series AA Preferred Stock, or (iv) entering into an agreement to do any of the foregoing.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under the DGCL the vote of holders of Series AA Preferred Stock, voting separately as a class or series as applicable, is required to authorize a given action of the Company, the affirmative vote or consent of the Requisite Holders of Series AA Preferred Stock, represented at a duly held meeting at which a quorum is present or by written consent of the Required Holders, voting together in the aggregate and not in separate series (in each instance, except as otherwise may be required under the DGCL), shall constitute the approval of such action by both the class or the series, as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The Series AA Preferred Stock ranks (i) senior to the Common Stock and any “Junior Securities” (as defined in the Certificate of Designations), (ii) on parity with any “Parity Securities” (as defined in the Certificate of Designations) and (iii) junior to any “Senior Securities (as defined in the Certificate of Designations”). Subject to the prior and superior rights of the holders of any Senior Securities, upon a dissolution, each holder of Series AA Preferred Stock is entitled to receive, prior and in preference to any distributions to holders of Common Stock. Upon any liquidation, dissolution or winding-up of the Company, whether voluntary or involuntary, each holder of the Series AA Preferred Stock shall be entitled to receive out of the assets, whether capital or surplus, of the Company an amount per share of Series AA Preferred Stock equal to the greater of (A) the stated value of such share of Series AA Preferred Stock (plus any dividends declared but unpaid on such share of Series AA Preferred Stock) on the date of such payment and (B) the amount per share such holder would receive if such holder converted such Series AA Preferred Stock into common stock immediately prior to the date of such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The Series AA Preferred Stock is convertible into shares of common stock at the election of the holder at any time at an initial conversion price of $1.818(the “Series AA Conversion Price”). The Series AA Conversion Price is subject to customary adjustments for stock dividends, stock splits, reclassifications and the like.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Delaware Law, Our Certificate of Incorporation and Bylaws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authorized but unissued shares of preferred stock may enable the Board to render more difficult or to discourage an attempt to gain control of the Company by means of a merger, tender offer, proxy contest or otherwise. For example, if in the due exercise of its fiduciary obligations, the Board were to determine that a takeover proposal is not in the best interests of the Company or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Certificate of Incorporation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stockholders of the Corporation may not take any action by written consent in lieu of a meeting. The Bylaws similarly provide that, except as otherwise provided by the Certificate of Incorporation, stockholders may not take any action by consent in lieu of a meeting of stockholders. The Certificate of Incorporation and Bylaws further provide that special meetings of stockholders for any purpose or purposes may be called at any time by only the Board, the Chairman of the Board or the Chief Executive Officer, and may not be called by any other persons.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 which relate to business combinations with interested stockholders, applies to the Company. Subject to certain exceptions, Section 203 prevents a publicly held Delaware corporation from engaging in a “business combination” with any “interested stockholder” for three years following the date that such person became an interested stockholder, unless either the interested stockholder attained such status with the approval of the Board, the business combination is approved by the Board and stockholders in a prescribed manner or the interested stockholder acquired at least 85% of the Company’s outstanding voting stock in the transaction in which such person became an interested stockholder. A “business combination” includes, among other things, a merger or consolidation involving the Company and the “interested stockholder” and the sale of more than 10% of the Company’s assets. In general, an “interested stockholder” is any entity or person beneficially owning 15% or more of the Company’s outstanding voting stock and any entity or person affiliated with or controlling or controlled by such entity or person.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Bylaws provide that stockholders seeking to bring business before an annual meeting of stockholders, or to nominate candidates for election as directors at an annual meeting of stockholders, must meet specified procedural requirements. These provisions may preclude stockholders from bringing matters before an annual meeting of stockholders or from making nominations for directors at an annual or special meeting of stockholders.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Forum Charter Provision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unless the Company consents in writing to the selection of an alternative forum, the Court of Chancery of the State of Delaware shall, to the fullest extent permitted by law, be the sole and exclusive forum for: (i) any derivative action or proceeding brought on behalf of the Company, (ii) any action asserting a claim of breach of a fiduciary duty owed by any director, officer, other employee or stockholder of the Company to the Company or its stockholders, (iii) any action asserting a claim arising pursuant to any provision of the DGCL or as to which the DGCL confers jurisdiction on the Court of Chancery of the State of Delaware, or (iv) any action asserting a claim arising pursuant to any provision of the Certificate of Incorporation or the Bylaws or governed by the internal affairs doctrine. The Company notes that there is uncertainty as to whether a court would enforce the provision and that investors cannot waive compliance with the federal securities laws and the rules and regulations thereunder. Although the Company believes this provision benefits the Company by providing increased consistency in the application of Delaware law in the types of lawsuits to which it applies, the provision may have the effect of discouraging lawsuits against the Company’s directors and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Liability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limits the personal liability of directors to the Company or its stockholders for monetary damages for breach of fiduciary duty as a director to the maximum extent permitted by the DGCL and provides that no director will have personal liability to the Company or to its stockholders for monetary damages for breach of fiduciary duty. However, these provisions do not eliminate or limit the liability of any of the Company’s directors: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any breach of the director’s duty of loyalty to the Company or its stockholders;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under the DGCL;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any transaction from which the director derived an improper personal benefit.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9" w:name="b_007"/>
      <w:bookmarkEnd w:id="19"/>
      <w:r>
        <w:rPr>
          <w:rFonts w:ascii="Times New Roman;Times;Serif" w:hAnsi="Times New Roman;Times;Serif"/>
          <w:b/>
          <w:i w:val="false"/>
          <w:caps/>
          <w:sz w:val="20"/>
        </w:rPr>
        <w:t>Description of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title or designation;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aggregate principal amount and any limit on the amount that may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currency or units based on or relating to currencies in which debt securities of such series are denominated and the currency or units in which principal or interest or both will or may be payable;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we will issue the series of debt securities in global form, the terms of any global securities and who the depositary will be;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maturity date and the date or dates on which principal will be payable;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bl>
    <w:p>
      <w:pPr>
        <w:pStyle w:val="TextBody"/>
        <w:bidi w:val="0"/>
        <w:spacing w:before="0" w:after="283"/>
        <w:jc w:val="left"/>
        <w:rPr/>
      </w:pPr>
      <w:r>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whether or not the debt securities will be secured or unsecured, and the terms of any secured debt;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terms of the subordination of any series of subordinated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place or places where payments will be payable;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right, if any, to defer payment of interest and the maximum length of any such deferral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if any, after which, and the price at which, we may, at our option, redeem the series of debt securities pursuant to any optional redemption provisions;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if any, on which, and the price at which we are obligated, pursuant to any mandatory sinking fund provisions or otherwise, to redeem, or at the holder’s option to purchase, the series of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the indenture will restrict our ability to pay dividends, or will require us to maintain any asset ratios or reserves;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we will be restricted from incurring any additional indebtedness;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discussion of any material or special U.S. federal income tax considerations applicable to a series of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other specific terms, preferences, rights or limitations of, or restrictions on, the debt securities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 No Protection in Event of a Change of Control or Highly Leveraged Transaction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pay interest when due and our failure continues for 90 days and the time for payment has not been extended or deferred;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pay the principal, or premium, if any, when due and the time for payment has not been extended or delayed;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specified events of bankruptcy, insolvency or reorganization occur as to us.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the direction so given by the holder is not in conflict with any law or the applicable indenture;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holder previously has given written notice to the debenture trustee of a continuing event of default with respect to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fix any ambiguity, defect or inconsistency in the indenture;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change anything that does not materially adversely affect the interests of any holder of debt securities of any series issued pursuant to such indenture.</w:t>
            </w:r>
          </w:p>
        </w:tc>
      </w:tr>
    </w:tbl>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extending the fixed maturity of the series of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principal amount, reducing the rate of or extending the time of payment of interest, or any premium payable upon the redemption of any debt securities;</w:t>
            </w:r>
          </w:p>
        </w:tc>
      </w:tr>
    </w:tbl>
    <w:p>
      <w:pPr>
        <w:pStyle w:val="TextBody"/>
        <w:bidi w:val="0"/>
        <w:spacing w:before="0" w:after="283"/>
        <w:jc w:val="left"/>
        <w:rPr/>
      </w:pPr>
      <w:r>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reducing the principal amount of discount securities payable upon acceleration of maturity;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making the principal of or premium or interest on any debt security payable in currency other than that stated in the debt security;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reducing the percentage of debt securities, the holders of which are required to consent to any amendment or waiver.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holders of a majority in principal amount of the outstanding debt securities of any series may rescind an acceleration and its consequences, including any related payment default that resulted from the acceleration.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the transfer or exchange of debt securities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replace stolen, lost or mutilated debt securities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maintain paying agencies;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hold monies for payment in trust;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compensate and indemnify the trustee;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appoint any successor trustee.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Debenture Trustee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0" w:name="b_008"/>
      <w:bookmarkEnd w:id="20"/>
      <w:r>
        <w:rPr>
          <w:rFonts w:ascii="Times New Roman;Times;Serif" w:hAnsi="Times New Roman;Times;Serif"/>
          <w:b/>
          <w:i w:val="false"/>
          <w:caps/>
          <w:sz w:val="20"/>
        </w:rPr>
        <w:t>Description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or preferred stock in one or more series. We may issue warrants independently or together with common stock or preferred stock, and the warrants may be attached to or separate from these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evidence each series of warrants by warrant certificates that we may issue under a separate agreement. We may enter into a warrant agreement with a warrant agent. Each warrant agent may be a bank that we select which has its principal office in the United States. We may also choose to act as our own warrant agent. We will indicate the name and address of any such warrant agent in the applicable prospectus supplement relating to a particular series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offering price and aggregate number of warrants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the case of warrants to purchase common stock or preferred stock, the number or amount of shares of common stock or preferred stock, as the case may be, purchasable upon the exercise of one warrant and the price at which and currency in which these shares may be purchased upon such exercise;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manner of exercise of the warrants, including any cashless exercise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warrant agreement under which the warrants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effect of any merger, consolidation, sale or other disposition of our business on the warrant agreement and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anti-dilution provisions of the warrants,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terms of any rights to redeem or call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dates on which the right to exercise the warrants will commence and expire or, if the warrants are not continuously exercisable during that period, the specific date or dates on which the warrants will be exercisable;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manner in which the warrant agreement and warrants may be modified;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identities of the warrant agent and any calculation or other agent for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federal income tax consequences of holding or exercising the warrants;</w:t>
            </w:r>
          </w:p>
        </w:tc>
      </w:tr>
    </w:tbl>
    <w:p>
      <w:pPr>
        <w:pStyle w:val="TextBody"/>
        <w:bidi w:val="0"/>
        <w:spacing w:before="0" w:after="283"/>
        <w:jc w:val="left"/>
        <w:rPr/>
      </w:pPr>
      <w:r>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pPr>
            <w:r>
              <w:rPr/>
              <w:t>the terms of the securities issuable upon exercise of the warrants;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securities exchange or quotation system on which the warrants or any securities deliverable upon exercise of the warrants may be listed or quoted;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other specific terms, preferences, rights or limitations of or restrictions on the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the close of business, on the expiration date that we set forth in the applicable prospectus supplement. After the close of business on the expiration date, unexercised warrants will become void.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 Will Not Be Qualified Under Trust Indenture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agreement will be qualified as an indenture, and no warrant agent will be required to qualify as a trustee, under the Trust Indenture Act of 1939. Therefore, holders of warrants issued under a warrant agreement will not have the protection of the Trust Indenture Act of 1939 with respect to their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applicable prospectus supplement, each warrant agreement and any warrants issued under the warrant agreements will be governed by New York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1" w:name="b_009"/>
      <w:bookmarkEnd w:id="21"/>
      <w:r>
        <w:rPr>
          <w:rFonts w:ascii="Times New Roman;Times;Serif" w:hAnsi="Times New Roman;Times;Serif"/>
          <w:b/>
          <w:i w:val="false"/>
          <w:caps/>
          <w:sz w:val="20"/>
        </w:rPr>
        <w:t>Description of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subscription rights we may issue from time to time. Particular terms of any subscription rights we offer will be described in the prospectus supplement relating to such subscription rights, and may differ from the terms described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shares of our common stock or other securities offered hereby. These subscription rights may be issued independently or together with any other security offered hereby and may or may not be transferable by the stockholder receiving the subscription rights in such offering. Each series of subscription rights will be issued under a separate subscription rights agreement to be entered into between us and a bank or trust company, as rights agent. The rights agent will act solely as our agent in connection with the certificates relating to the subscription rights of the series of certificates and will not assume any obligation or relationship of agency or trust for or with any holders of subscription rights certificates or beneficial owners of subscription rights.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subscription rights for which this prospectus is being delivered, including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shares of our common stock or other securities will be offered under the stockholder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of determining the stockholders entitled to the subscription rights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price, if any, for the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exercise price payable for each security upon the exercise of the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number of subscription rights issued to each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number and terms of the securities which may be purchased per each subscription right;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extent to which the subscription rights are transferable and the date, if any, on and after which the rights may be separately transferred;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other terms of the subscription rights, including the terms, procedures and limitations relating to the exchange and exercise of the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on which the right to exercise the subscription rights shall commence, and the date on which the subscription rights shall expire;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conditions to the completion of the offering,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terms relating to the withdrawal, termination or cancellation of the subscription rights,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extent to which the subscription rights may include an over-subscription privilege with respect to unsubscribed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appropriate, a discussion of material U.S. federal income tax considerations;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applicable, the material terms of any standby underwriting or purchase arrangement entered into by us in connection with the offering of subscription rights.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thereof to purchase for cash the principal amount of shares of common stock or other securities at the exercise price provided in the applicable prospectus supplement. Subscription rights may be exercised at any time up to the close of business on the expiration date for the subscription rights provided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subscription rights as described in the applicable prospectus supplement. Upon receipt of payment and the subscription rights certificate properly completed and duly executed at the corporate trust office of the rights agent or any other office indicated in the prospectus supplement, we will, as soon as practicable, forward the shares of common stock or other securities, as applicable,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subscription rights we offer will be set forth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2" w:name="b_010"/>
      <w:bookmarkEnd w:id="22"/>
      <w:r>
        <w:rPr>
          <w:rFonts w:ascii="Times New Roman;Times;Serif" w:hAnsi="Times New Roman;Times;Serif"/>
          <w:b/>
          <w:i w:val="false"/>
          <w:caps/>
          <w:sz w:val="20"/>
        </w:rPr>
        <w:t>Description of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or any prospectus supplement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times before a specified date or upon the occurrence of a specified event or occurrence.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designation and the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unit agreement under which the units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3" w:name="b_011"/>
      <w:bookmarkEnd w:id="23"/>
      <w:r>
        <w:rPr>
          <w:rFonts w:ascii="Times New Roman;Times;Serif" w:hAnsi="Times New Roman;Times;Serif"/>
          <w:b/>
          <w:i w:val="false"/>
          <w:caps/>
          <w:sz w:val="20"/>
        </w:rPr>
        <w:t>Plan of Distribution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pursuant to this prospectus from time to time in one or more transactions, including, without limitation: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or through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broker-dealers (acting as agent or principal);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directly by us to one or more purchasers (including our affiliates and stockholders), through a specific bidding or auction process, a rights offering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any other methods described in a prospectus supplement or free writing prospectus.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purchases by a broker-dealer as principal and resale by the broker-dealer for its own account pursuant to a prospectus supplement or free writing prospectus;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ordinary brokerage transactions and transactions in which a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sales in other ways not involving market makers or established trading markets, including direct sales to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applicable prospectus supplement or free writing prospectus will describe the terms of the offering of the securities, including: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name or names of any underwriters, if, and if required, any dealers or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purchase price of the securities and the proceeds we will receive from the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underwriting discounts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discounts or concessions allowed or re-allowed or paid to dealers;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securities exchange or market on which the securities may be listed or traded.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transactions at:</w:t>
      </w:r>
    </w:p>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a fixed price or prices, which may be changed;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market prices prevailing at the time of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prices related to such prevailing market prices;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negotiated prices.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underwriters and other purchasers with indemnification against particular civil liabilities, including liabilities under the Securities Act, or contribution with respect to payments that the agents, underwriters or other purchasers may make with respect to such liabilities. Agents and underwriters may engage in transactions with, or perform services for, us in the ordinary course of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any common stock sold pursuant to a prospectus supplement will be eligible for listing on Nasdaq, subject to official notice of issuance. Any underwriters to whom securities are sold by us for public offering and sale may make a market in the securities, but such underwriters will not be obligated to do so and may discontinue any market making at any time without notice.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4" w:name="b_012"/>
      <w:bookmarkEnd w:id="24"/>
      <w:r>
        <w:rPr>
          <w:rFonts w:ascii="Times New Roman;Times;Serif" w:hAnsi="Times New Roman;Times;Serif"/>
          <w:b/>
          <w:i w:val="false"/>
          <w:caps/>
          <w:sz w:val="20"/>
        </w:rPr>
        <w:t>Legal Matters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validity of the securities offered by this prospectus has been passed upon for us by Haynes and Boone, LLP, New York, New York.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5" w:name="b_013"/>
      <w:bookmarkEnd w:id="25"/>
      <w:r>
        <w:rPr>
          <w:rFonts w:ascii="Times New Roman;Times;Serif" w:hAnsi="Times New Roman;Times;Serif"/>
          <w:b/>
          <w:i w:val="false"/>
          <w:caps/>
          <w:sz w:val="20"/>
        </w:rPr>
        <w:t>Experts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KALA BIO, Inc. as of and for the year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KALA BIO, Inc. as of and for the year ended December 31, 2025, incorporated by reference in this prospectus have been audited by HTL International, LLC, an independent registered public accounting firm, as stated in their report. Such consolidated financial statements have been incorporated herein by reference in reliance on the report of such firms given upon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6" w:name="b_014"/>
      <w:bookmarkEnd w:id="26"/>
      <w:r>
        <w:rPr>
          <w:rFonts w:ascii="Times New Roman;Times;Serif" w:hAnsi="Times New Roman;Times;Serif"/>
          <w:b/>
          <w:i w:val="false"/>
          <w:caps/>
          <w:sz w:val="20"/>
        </w:rPr>
        <w:t>Where You Can Find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and in accordance therewith file annual, quarterly and current reports, proxy statements and other information with the SEC. The SEC maintains an internet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periodic and current reports, proxy and information statements and other information regarding registrants that are filed electronically with the SEC.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documents are also available, free of charge, through the SEC Filings portion of the Investor Relations section of our website, which is located at </w:t>
      </w:r>
      <w:r>
        <w:rPr>
          <w:rFonts w:ascii="Times New Roman;Times;Serif" w:hAnsi="Times New Roman;Times;Serif"/>
          <w:b w:val="false"/>
          <w:i/>
          <w:caps w:val="false"/>
          <w:smallCaps w:val="false"/>
          <w:sz w:val="20"/>
        </w:rPr>
        <w:t>www.kalarx.com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The registration statement and the documents referred to below under “Incorporation of Documents by Reference” are also available on our website, </w:t>
      </w:r>
      <w:r>
        <w:rPr>
          <w:rFonts w:ascii="Times New Roman;Times;Serif" w:hAnsi="Times New Roman;Times;Serif"/>
          <w:b w:val="false"/>
          <w:i/>
          <w:caps w:val="false"/>
          <w:smallCaps w:val="false"/>
          <w:sz w:val="20"/>
        </w:rPr>
        <w:t>www.kalarx.com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incorporated by reference into this prospectus the information on our website, and you should not consider it to be a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7" w:name="b_015"/>
      <w:bookmarkEnd w:id="27"/>
      <w:r>
        <w:rPr>
          <w:rFonts w:ascii="Times New Roman;Times;Serif" w:hAnsi="Times New Roman;Times;Serif"/>
          <w:b/>
          <w:i w:val="false"/>
          <w:caps/>
          <w:sz w:val="20"/>
        </w:rPr>
        <w:t>Incorporation of Documents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and any future documents we file with the SEC pursuant to Sections l3(a), l3(c), 14 or l5(d) of the Exchange Act (excluding those portions of any Current Report on Form 8-K that are furnished and not deemed “filed” pursuant to the General Instructions of Form 8-K), in each case, between the date of the initial registration statement and the effectiveness of the registration statement and following the effectiveness of the registration statement until the offering of the securities under the registration statement is terminated: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Annual Report on </w:t>
            </w:r>
            <w:hyperlink r:id="rId16">
              <w:r>
                <w:rPr>
                  <w:rStyle w:val="InternetLink"/>
                </w:rPr>
                <w:t>Form 10-K</w:t>
              </w:r>
            </w:hyperlink>
            <w:r>
              <w:rPr/>
              <w:t xml:space="preserve"> for the year ended December 31, 2025, filed with the SEC on April 15, 2026;</w:t>
            </w:r>
          </w:p>
        </w:tc>
      </w:tr>
    </w:tbl>
    <w:p>
      <w:pPr>
        <w:pStyle w:val="TextBody"/>
        <w:bidi w:val="0"/>
        <w:spacing w:before="0" w:after="283"/>
        <w:jc w:val="left"/>
        <w:rPr/>
      </w:pPr>
      <w:r>
        <w:rPr/>
        <w:t> </w:t>
      </w:r>
    </w:p>
    <w:tbl>
      <w:tblPr>
        <w:tblW w:w="9775" w:type="dxa"/>
        <w:jc w:val="left"/>
        <w:tblInd w:w="0" w:type="dxa"/>
        <w:tblLayout w:type="fixed"/>
        <w:tblCellMar>
          <w:top w:w="0" w:type="dxa"/>
          <w:left w:w="0" w:type="dxa"/>
          <w:bottom w:w="0" w:type="dxa"/>
          <w:right w:w="0" w:type="dxa"/>
        </w:tblCellMar>
      </w:tblPr>
      <w:tblGrid>
        <w:gridCol w:w="135"/>
        <w:gridCol w:w="230"/>
        <w:gridCol w:w="9410"/>
      </w:tblGrid>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1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17">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15, 2026; 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Current Reports on Form 8-K filed with the SEC on </w:t>
            </w:r>
            <w:hyperlink r:id="rId18">
              <w:r>
                <w:rPr>
                  <w:rStyle w:val="InternetLink"/>
                </w:rPr>
                <w:t>January 2, 2026</w:t>
              </w:r>
            </w:hyperlink>
            <w:r>
              <w:rPr/>
              <w:t xml:space="preserve">; </w:t>
            </w:r>
            <w:hyperlink r:id="rId19">
              <w:r>
                <w:rPr>
                  <w:rStyle w:val="InternetLink"/>
                </w:rPr>
                <w:t>January 6, 2026</w:t>
              </w:r>
            </w:hyperlink>
            <w:r>
              <w:rPr/>
              <w:t xml:space="preserve">; </w:t>
            </w:r>
            <w:hyperlink r:id="rId20">
              <w:r>
                <w:rPr>
                  <w:rStyle w:val="InternetLink"/>
                </w:rPr>
                <w:t>January 8, 2026</w:t>
              </w:r>
            </w:hyperlink>
            <w:r>
              <w:rPr/>
              <w:t xml:space="preserve">; </w:t>
            </w:r>
            <w:hyperlink r:id="rId21">
              <w:r>
                <w:rPr>
                  <w:rStyle w:val="InternetLink"/>
                </w:rPr>
                <w:t>January 23, 2026</w:t>
              </w:r>
            </w:hyperlink>
            <w:r>
              <w:rPr/>
              <w:t xml:space="preserve">; </w:t>
            </w:r>
            <w:hyperlink r:id="rId22">
              <w:r>
                <w:rPr>
                  <w:rStyle w:val="InternetLink"/>
                </w:rPr>
                <w:t>February 2, 2026</w:t>
              </w:r>
            </w:hyperlink>
            <w:r>
              <w:rPr/>
              <w:t xml:space="preserve">; </w:t>
            </w:r>
            <w:hyperlink r:id="rId23">
              <w:r>
                <w:rPr>
                  <w:rStyle w:val="InternetLink"/>
                </w:rPr>
                <w:t>February 5, 2026</w:t>
              </w:r>
            </w:hyperlink>
            <w:r>
              <w:rPr/>
              <w:t xml:space="preserve">; </w:t>
            </w:r>
            <w:hyperlink r:id="rId24">
              <w:r>
                <w:rPr>
                  <w:rStyle w:val="InternetLink"/>
                </w:rPr>
                <w:t>February 20, 2026</w:t>
              </w:r>
            </w:hyperlink>
            <w:r>
              <w:rPr/>
              <w:t xml:space="preserve">; </w:t>
            </w:r>
            <w:hyperlink r:id="rId25">
              <w:r>
                <w:rPr>
                  <w:rStyle w:val="InternetLink"/>
                </w:rPr>
                <w:t>March 4, 2026</w:t>
              </w:r>
            </w:hyperlink>
            <w:r>
              <w:rPr/>
              <w:t xml:space="preserve">; and </w:t>
            </w:r>
            <w:hyperlink r:id="rId26">
              <w:r>
                <w:rPr>
                  <w:rStyle w:val="InternetLink"/>
                </w:rPr>
                <w:t>May 7, 2026</w:t>
              </w:r>
            </w:hyperlink>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 Massachusetts Avenue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Arlington, MA 02476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 996-5252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 documents incorporated by reference in this prospectus through our website at </w:t>
      </w:r>
      <w:r>
        <w:rPr>
          <w:rFonts w:ascii="Times New Roman;Times;Serif" w:hAnsi="Times New Roman;Times;Serif"/>
          <w:b w:val="false"/>
          <w:i/>
          <w:caps w:val="false"/>
          <w:smallCaps w:val="false"/>
          <w:sz w:val="20"/>
        </w:rPr>
        <w:t>www.kalarx.com</w:t>
      </w:r>
      <w:r>
        <w:rPr>
          <w:rFonts w:ascii="Times New Roman;Times;Serif" w:hAnsi="Times New Roman;Times;Serif"/>
          <w:b w:val="false"/>
          <w:i w:val="false"/>
          <w:caps w:val="false"/>
          <w:smallCaps w:val="false"/>
          <w:sz w:val="20"/>
        </w:rPr>
        <w:t>. Except for the specific incorporated documents listed above, no information available on or through our website shall be deemed to be incorporated in this prospectus or the registration statement of which it forms a part.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1143000" cy="8001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$250,000,000</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H.C. Wainwright &amp; Co.</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22,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79419/000110465926043782/kala-20251231x10k.htm" TargetMode="External"/><Relationship Id="rId4" Type="http://schemas.openxmlformats.org/officeDocument/2006/relationships/hyperlink" Target="https://www.sec.gov/ix?doc=/Archives/edgar/data/1479419/000110465926062397/kala-20260331x10q.htm" TargetMode="External"/><Relationship Id="rId5" Type="http://schemas.openxmlformats.org/officeDocument/2006/relationships/hyperlink" Target="https://www.sec.gov/ix?doc=/Archives/edgar/data/1479419/000182912626000023/kalabio_8k.htm" TargetMode="External"/><Relationship Id="rId6" Type="http://schemas.openxmlformats.org/officeDocument/2006/relationships/hyperlink" Target="https://www.sec.gov/ix?doc=/Archives/edgar/data/1479419/000182912626000055/kalabio_8k.htm" TargetMode="External"/><Relationship Id="rId7" Type="http://schemas.openxmlformats.org/officeDocument/2006/relationships/hyperlink" Target="https://www.sec.gov/ix?doc=/Archives/edgar/data/1479419/000182912626000110/kalabio_8k.htm" TargetMode="External"/><Relationship Id="rId8" Type="http://schemas.openxmlformats.org/officeDocument/2006/relationships/hyperlink" Target="https://www.sec.gov/ix?doc=/Archives/edgar/data/1479419/000182912626000502/kalabio_8k.htm" TargetMode="External"/><Relationship Id="rId9" Type="http://schemas.openxmlformats.org/officeDocument/2006/relationships/hyperlink" Target="https://www.sec.gov/ix?doc=/Archives/edgar/data/1479419/000182912626000837/kalabio_8k.htm" TargetMode="External"/><Relationship Id="rId10" Type="http://schemas.openxmlformats.org/officeDocument/2006/relationships/hyperlink" Target="https://www.sec.gov/ix?doc=/Archives/edgar/data/1479419/000182912626000995/kalabio_8k.htm" TargetMode="External"/><Relationship Id="rId11" Type="http://schemas.openxmlformats.org/officeDocument/2006/relationships/hyperlink" Target="https://www.sec.gov/ix?doc=/Archives/edgar/data/1479419/000182912626001534/kalabio_8k.htm" TargetMode="External"/><Relationship Id="rId12" Type="http://schemas.openxmlformats.org/officeDocument/2006/relationships/hyperlink" Target="https://www.sec.gov/ix?doc=/Archives/edgar/data/1479419/000182912626001911/kalabio_8k.htm" TargetMode="External"/><Relationship Id="rId13" Type="http://schemas.openxmlformats.org/officeDocument/2006/relationships/hyperlink" Target="https://www.sec.gov/ix?doc=/Archives/edgar/data/1479419/000182912626004744/kalabio_8k.htm" TargetMode="External"/><Relationship Id="rId14" Type="http://schemas.openxmlformats.org/officeDocument/2006/relationships/hyperlink" Target="https://www.sec.gov/Archives/edgar/data/1479419/000110465917045043/a17-8558_88a12b.htm" TargetMode="External"/><Relationship Id="rId15" Type="http://schemas.openxmlformats.org/officeDocument/2006/relationships/hyperlink" Target="https://www.sec.gov/Archives/edgar/data/1479419/000182912626004790/kalabio_ex4-1.htm" TargetMode="External"/><Relationship Id="rId16" Type="http://schemas.openxmlformats.org/officeDocument/2006/relationships/hyperlink" Target="https://www.sec.gov/ix?doc=/Archives/edgar/data/1479419/000110465926043782/kala-20251231x10k.htm" TargetMode="External"/><Relationship Id="rId17" Type="http://schemas.openxmlformats.org/officeDocument/2006/relationships/hyperlink" Target="https://www.sec.gov/ix?doc=/Archives/edgar/data/1479419/000110465926062397/kala-20260331x10q.htm" TargetMode="External"/><Relationship Id="rId18" Type="http://schemas.openxmlformats.org/officeDocument/2006/relationships/hyperlink" Target="https://www.sec.gov/ix?doc=/Archives/edgar/data/1479419/000182912626000023/kalabio_8k.htm" TargetMode="External"/><Relationship Id="rId19" Type="http://schemas.openxmlformats.org/officeDocument/2006/relationships/hyperlink" Target="https://www.sec.gov/ix?doc=/Archives/edgar/data/1479419/000182912626000055/kalabio_8k.htm" TargetMode="External"/><Relationship Id="rId20" Type="http://schemas.openxmlformats.org/officeDocument/2006/relationships/hyperlink" Target="https://www.sec.gov/ix?doc=/Archives/edgar/data/1479419/000182912626000110/kalabio_8k.htm" TargetMode="External"/><Relationship Id="rId21" Type="http://schemas.openxmlformats.org/officeDocument/2006/relationships/hyperlink" Target="https://www.sec.gov/ix?doc=/Archives/edgar/data/1479419/000182912626000502/kalabio_8k.htm" TargetMode="External"/><Relationship Id="rId22" Type="http://schemas.openxmlformats.org/officeDocument/2006/relationships/hyperlink" Target="https://www.sec.gov/ix?doc=/Archives/edgar/data/1479419/000182912626000837/kalabio_8k.htm" TargetMode="External"/><Relationship Id="rId23" Type="http://schemas.openxmlformats.org/officeDocument/2006/relationships/hyperlink" Target="https://www.sec.gov/ix?doc=/Archives/edgar/data/1479419/000182912626000995/kalabio_8k.htm" TargetMode="External"/><Relationship Id="rId24" Type="http://schemas.openxmlformats.org/officeDocument/2006/relationships/hyperlink" Target="https://www.sec.gov/ix?doc=/Archives/edgar/data/1479419/000182912626001534/kalabio_8k.htm" TargetMode="External"/><Relationship Id="rId25" Type="http://schemas.openxmlformats.org/officeDocument/2006/relationships/hyperlink" Target="https://www.sec.gov/ix?doc=/Archives/edgar/data/1479419/000182912626001911/kalabio_8k.htm" TargetMode="External"/><Relationship Id="rId26" Type="http://schemas.openxmlformats.org/officeDocument/2006/relationships/hyperlink" Target="https://www.sec.gov/ix?doc=/Archives/edgar/data/1479419/000182912626004744/kalabio_8k.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25718</Words>
  <Characters>138106</Characters>
  <CharactersWithSpaces>164334</CharactersWithSpaces>
  <Paragraphs>2098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